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44f9" w14:textId="de34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промышленности и строительства Республики Казахстан от 19 сентября 2025 года № 374 "Об утверждении Правил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28 января 2026 года № 26. Зарегистрирован в Министерстве юстиции Республики Казахстан 29 января 2026 года № 37913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19 сентября 2025 года № 374 "Об утверждении Правил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(зарегистрирован в Реестре государственной регистрации нормативных правовых актов за № 36888)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закупок работ и услуг, отбора проектов и поставщиков, заключения договоров, в рамках реализации национального проекта по модернизации энергетического и коммунального секторов,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"47. В период предварительного квалификационного отбора заявки потенциальных поставщиков после их вскрытия на электронном портале закупок доступны квалификационному органу, наблюдателям и секретарю только в части, необходимой для проведения оценки опыта работы по аналогичным проектам, расчҰта показателя загрузки, подтверждения наличия трудовых ресурсов, а также наличия/отсутствия задолженности по налогам и просроченной задолженности по заработной плате, а также неценового критерия по регистрации потенциального поставщика по месту реализации проекта. Полный доступ к просмотру заявок потенциальных поставщиков предоставляется после подписания итогов конкурса.";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53 изложить в следующей редакции:</w:t>
      </w:r>
    </w:p>
    <w:bookmarkStart w:name="z10" w:id="4"/>
    <w:p>
      <w:pPr>
        <w:spacing w:after="0"/>
        <w:ind w:left="0"/>
        <w:jc w:val="both"/>
      </w:pPr>
      <w:r>
        <w:rPr>
          <w:rFonts w:ascii="Times New Roman"/>
          <w:b w:val="false"/>
          <w:i w:val="false"/>
          <w:color w:val="000000"/>
          <w:sz w:val="28"/>
        </w:rPr>
        <w:t>
      "1) определен не соответствующим квалификационным требованиям по следующим основаниям:</w:t>
      </w:r>
    </w:p>
    <w:bookmarkEnd w:id="4"/>
    <w:bookmarkStart w:name="z11" w:id="5"/>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Отсутствие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5"/>
    <w:bookmarkStart w:name="z12" w:id="6"/>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6"/>
    <w:bookmarkStart w:name="z13" w:id="7"/>
    <w:p>
      <w:pPr>
        <w:spacing w:after="0"/>
        <w:ind w:left="0"/>
        <w:jc w:val="both"/>
      </w:pPr>
      <w:r>
        <w:rPr>
          <w:rFonts w:ascii="Times New Roman"/>
          <w:b w:val="false"/>
          <w:i w:val="false"/>
          <w:color w:val="000000"/>
          <w:sz w:val="28"/>
        </w:rPr>
        <w:t>
      несоответствие требованиям финансовой устойчивости, определяемое электронной платформой закупок автоматически на основании сведений органов государственных доходов, а также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bookmarkEnd w:id="7"/>
    <w:bookmarkStart w:name="z14" w:id="8"/>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bookmarkEnd w:id="8"/>
    <w:bookmarkStart w:name="z15" w:id="9"/>
    <w:p>
      <w:pPr>
        <w:spacing w:after="0"/>
        <w:ind w:left="0"/>
        <w:jc w:val="both"/>
      </w:pPr>
      <w:r>
        <w:rPr>
          <w:rFonts w:ascii="Times New Roman"/>
          <w:b w:val="false"/>
          <w:i w:val="false"/>
          <w:color w:val="000000"/>
          <w:sz w:val="28"/>
        </w:rPr>
        <w:t>
      непредставление, а равно представление неполных сведений о квалификации согласно конкурсной документации;</w:t>
      </w:r>
    </w:p>
    <w:bookmarkEnd w:id="9"/>
    <w:bookmarkStart w:name="z16" w:id="10"/>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bookmarkEnd w:id="10"/>
    <w:bookmarkStart w:name="z17" w:id="1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трудовыми ресурсами (при применении), достаточными для исполнения обязательств по договору;</w:t>
      </w:r>
    </w:p>
    <w:bookmarkEnd w:id="11"/>
    <w:bookmarkStart w:name="z18" w:id="1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 Такой факт устанавливается органами государственного аудита и финансового контроля, в том числе на основе сведений и документов, представленных заказчиком, на любой стадии осуществления закупок;</w:t>
      </w:r>
    </w:p>
    <w:bookmarkEnd w:id="12"/>
    <w:bookmarkStart w:name="z19" w:id="13"/>
    <w:p>
      <w:pPr>
        <w:spacing w:after="0"/>
        <w:ind w:left="0"/>
        <w:jc w:val="both"/>
      </w:pPr>
      <w:r>
        <w:rPr>
          <w:rFonts w:ascii="Times New Roman"/>
          <w:b w:val="false"/>
          <w:i w:val="false"/>
          <w:color w:val="000000"/>
          <w:sz w:val="28"/>
        </w:rPr>
        <w:t>
      подлежит процедуре банкротства либо ликвидации;";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"59. Срок проведения предварительного квалификационного отбора – до 10 рабочих дней с даты окончания приема заявок.";</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68</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"68. Финансовая устойчивость потенциального поставщика определяется электронной платформой закупок автоматически на основании сведений органов государственных доходов об уплаченных налогах.</w:t>
      </w:r>
    </w:p>
    <w:bookmarkEnd w:id="15"/>
    <w:bookmarkStart w:name="z24" w:id="16"/>
    <w:p>
      <w:pPr>
        <w:spacing w:after="0"/>
        <w:ind w:left="0"/>
        <w:jc w:val="both"/>
      </w:pPr>
      <w:r>
        <w:rPr>
          <w:rFonts w:ascii="Times New Roman"/>
          <w:b w:val="false"/>
          <w:i w:val="false"/>
          <w:color w:val="000000"/>
          <w:sz w:val="28"/>
        </w:rPr>
        <w:t>
      69. Потенциальный поставщик признается финансово устойчивым, если сумма уплаченных им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полутора процентов (1,5%) от суммы закупки (лота).";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"72. Расчет допустимого показателя загрузки (далее - ДПЗ) осуществляется по формуле:</w:t>
      </w:r>
    </w:p>
    <w:bookmarkEnd w:id="17"/>
    <w:bookmarkStart w:name="z2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где:</w:t>
      </w:r>
    </w:p>
    <w:bookmarkEnd w:id="19"/>
    <w:bookmarkStart w:name="z29"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принятых действующих обязательств — совокупная сумма принятых обязательств потенциального поставщика по договорам и протоколам закупок, относящимся к предмету закупки (строительно-монтажные работы или технический надзор), включающая:</w:t>
      </w:r>
    </w:p>
    <w:bookmarkEnd w:id="20"/>
    <w:bookmarkStart w:name="z30" w:id="21"/>
    <w:p>
      <w:pPr>
        <w:spacing w:after="0"/>
        <w:ind w:left="0"/>
        <w:jc w:val="both"/>
      </w:pPr>
      <w:r>
        <w:rPr>
          <w:rFonts w:ascii="Times New Roman"/>
          <w:b w:val="false"/>
          <w:i w:val="false"/>
          <w:color w:val="000000"/>
          <w:sz w:val="28"/>
        </w:rPr>
        <w:t>
      1) обязательства, заключенные и действующие на дату расчета;</w:t>
      </w:r>
    </w:p>
    <w:bookmarkEnd w:id="21"/>
    <w:bookmarkStart w:name="z31" w:id="22"/>
    <w:p>
      <w:pPr>
        <w:spacing w:after="0"/>
        <w:ind w:left="0"/>
        <w:jc w:val="both"/>
      </w:pPr>
      <w:r>
        <w:rPr>
          <w:rFonts w:ascii="Times New Roman"/>
          <w:b w:val="false"/>
          <w:i w:val="false"/>
          <w:color w:val="000000"/>
          <w:sz w:val="28"/>
        </w:rPr>
        <w:t>
      2) обязательства, заключенные и подлежащие исполнению в будущие периоды;</w:t>
      </w:r>
    </w:p>
    <w:bookmarkEnd w:id="22"/>
    <w:bookmarkStart w:name="z32" w:id="23"/>
    <w:p>
      <w:pPr>
        <w:spacing w:after="0"/>
        <w:ind w:left="0"/>
        <w:jc w:val="both"/>
      </w:pPr>
      <w:r>
        <w:rPr>
          <w:rFonts w:ascii="Times New Roman"/>
          <w:b w:val="false"/>
          <w:i w:val="false"/>
          <w:color w:val="000000"/>
          <w:sz w:val="28"/>
        </w:rPr>
        <w:t>
      3) обязательства, перешедшие из предыдущих периодов;</w:t>
      </w:r>
    </w:p>
    <w:bookmarkEnd w:id="23"/>
    <w:bookmarkStart w:name="z33" w:id="24"/>
    <w:p>
      <w:pPr>
        <w:spacing w:after="0"/>
        <w:ind w:left="0"/>
        <w:jc w:val="both"/>
      </w:pPr>
      <w:r>
        <w:rPr>
          <w:rFonts w:ascii="Times New Roman"/>
          <w:b w:val="false"/>
          <w:i w:val="false"/>
          <w:color w:val="000000"/>
          <w:sz w:val="28"/>
        </w:rPr>
        <w:t>
      4) обязательства по протоколам закупок, по которым договоры ещҰ не заключены.</w:t>
      </w:r>
    </w:p>
    <w:bookmarkEnd w:id="24"/>
    <w:bookmarkStart w:name="z3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 исполненных обязательств по действующим договорам — сумма обязательств, относящихся к предмету закупки (строительно-монтажные работы или технический надзор), исполнение которых подтверждено документами, оформленными в установленном порядке (акты выполненных работ, оказанных услуг и т.п.).</w:t>
      </w:r>
    </w:p>
    <w:bookmarkEnd w:id="25"/>
    <w:bookmarkStart w:name="z35" w:id="26"/>
    <w:p>
      <w:pPr>
        <w:spacing w:after="0"/>
        <w:ind w:left="0"/>
        <w:jc w:val="both"/>
      </w:pPr>
      <w:r>
        <w:rPr>
          <w:rFonts w:ascii="Times New Roman"/>
          <w:b w:val="false"/>
          <w:i w:val="false"/>
          <w:color w:val="000000"/>
          <w:sz w:val="28"/>
        </w:rPr>
        <w:t>
      Наибольший годовой доход потенциального поставщика за 3 года – максимальное значение годового дохода от основной деятельности за три завершҰнных финансовых года, определяемое квалификационным органом на основании подтверждающих документов, представленных потенциальным поставщиком.</w:t>
      </w:r>
    </w:p>
    <w:bookmarkEnd w:id="26"/>
    <w:bookmarkStart w:name="z36" w:id="27"/>
    <w:p>
      <w:pPr>
        <w:spacing w:after="0"/>
        <w:ind w:left="0"/>
        <w:jc w:val="both"/>
      </w:pPr>
      <w:r>
        <w:rPr>
          <w:rFonts w:ascii="Times New Roman"/>
          <w:b w:val="false"/>
          <w:i w:val="false"/>
          <w:color w:val="000000"/>
          <w:sz w:val="28"/>
        </w:rPr>
        <w:t>
      До внедрения автоматизированного обмена данными с государственными информационными системами, расчет допустимого показателя загрузки осуществляется на основании подтверждающих документов, представленных потенциальным поставщиком в составе заявки на конкурс.";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"77. Для подтверждения опыта работы представляются следующие документы: договора с заказчиком (на СМР или технический надзор в зависимости от предмета закупок), акты ввода объектов в эксплуатацию, положительные заключения комплексной вневедомственной экспертизы. Акты ввода объектов в эксплуатацию по проектам строительства и реконструкции представляются со штампом о регистрации в НАО "Правительство для граждан" с отметкой о принятии (регистрации) в органах государственного архитектурно-строительного контроля, в соответствии с законодательством Республики Казахстан.</w:t>
      </w:r>
    </w:p>
    <w:bookmarkEnd w:id="28"/>
    <w:bookmarkStart w:name="z39" w:id="29"/>
    <w:p>
      <w:pPr>
        <w:spacing w:after="0"/>
        <w:ind w:left="0"/>
        <w:jc w:val="both"/>
      </w:pPr>
      <w:r>
        <w:rPr>
          <w:rFonts w:ascii="Times New Roman"/>
          <w:b w:val="false"/>
          <w:i w:val="false"/>
          <w:color w:val="000000"/>
          <w:sz w:val="28"/>
        </w:rPr>
        <w:t xml:space="preserve">
      Опыт работы подтверждается электронными копиями документов, вносимыми в реестр опыта работы в соответствии с Правилами формирования и ведения реестров в сфере государственных закупок,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26 сентября 2024 года № 646 (зарегистрирован в Реестре государственной регистрации нормативных правовых актов под № 35143).</w:t>
      </w:r>
    </w:p>
    <w:bookmarkEnd w:id="29"/>
    <w:bookmarkStart w:name="z40" w:id="30"/>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30"/>
    <w:bookmarkStart w:name="z41" w:id="31"/>
    <w:p>
      <w:pPr>
        <w:spacing w:after="0"/>
        <w:ind w:left="0"/>
        <w:jc w:val="both"/>
      </w:pPr>
      <w:r>
        <w:rPr>
          <w:rFonts w:ascii="Times New Roman"/>
          <w:b w:val="false"/>
          <w:i w:val="false"/>
          <w:color w:val="000000"/>
          <w:sz w:val="28"/>
        </w:rPr>
        <w:t>
      Для целей настоящих Правил опыт работы реорганизованного юридического лица не учитывается при расчете неценовых критериев, при наличии одного из следующих случаев:</w:t>
      </w:r>
    </w:p>
    <w:bookmarkEnd w:id="31"/>
    <w:bookmarkStart w:name="z42" w:id="32"/>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32"/>
    <w:bookmarkStart w:name="z43" w:id="33"/>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33"/>
    <w:bookmarkStart w:name="z44" w:id="34"/>
    <w:p>
      <w:pPr>
        <w:spacing w:after="0"/>
        <w:ind w:left="0"/>
        <w:jc w:val="both"/>
      </w:pPr>
      <w:r>
        <w:rPr>
          <w:rFonts w:ascii="Times New Roman"/>
          <w:b w:val="false"/>
          <w:i w:val="false"/>
          <w:color w:val="000000"/>
          <w:sz w:val="28"/>
        </w:rPr>
        <w:t>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пунктом 53 настоящих Правил;</w:t>
      </w:r>
    </w:p>
    <w:bookmarkEnd w:id="34"/>
    <w:bookmarkStart w:name="z45" w:id="35"/>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закупок.";</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"79. Всем участникам консорциума необходимо соответствовать квалификационным требованиям, предусмотренным параграфами 9 и 12 настоящих Правил, за исключением требований, указанных в пункте 69 настоящих Правил, в соответствие которым обеспечивается основным участником консорциума.";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 </w:t>
      </w:r>
    </w:p>
    <w:bookmarkStart w:name="z49" w:id="37"/>
    <w:p>
      <w:pPr>
        <w:spacing w:after="0"/>
        <w:ind w:left="0"/>
        <w:jc w:val="both"/>
      </w:pPr>
      <w:r>
        <w:rPr>
          <w:rFonts w:ascii="Times New Roman"/>
          <w:b w:val="false"/>
          <w:i w:val="false"/>
          <w:color w:val="000000"/>
          <w:sz w:val="28"/>
        </w:rPr>
        <w:t>
      "95. Неценовой критерий по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квалификационным органом на основе подтверждающих документов, представленных потенциальным поставщиком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За соответствие данному критерию потенциальному поставщику присваивается 2 балла.";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p>
    <w:bookmarkStart w:name="z51" w:id="38"/>
    <w:p>
      <w:pPr>
        <w:spacing w:after="0"/>
        <w:ind w:left="0"/>
        <w:jc w:val="both"/>
      </w:pPr>
      <w:r>
        <w:rPr>
          <w:rFonts w:ascii="Times New Roman"/>
          <w:b w:val="false"/>
          <w:i w:val="false"/>
          <w:color w:val="000000"/>
          <w:sz w:val="28"/>
        </w:rPr>
        <w:t>
      "111. Договор подписывается на бумажном носителе в случае заключения договора о закупках с нерезидентом Республики Казахстан.</w:t>
      </w:r>
    </w:p>
    <w:bookmarkEnd w:id="38"/>
    <w:bookmarkStart w:name="z52" w:id="39"/>
    <w:p>
      <w:pPr>
        <w:spacing w:after="0"/>
        <w:ind w:left="0"/>
        <w:jc w:val="both"/>
      </w:pPr>
      <w:r>
        <w:rPr>
          <w:rFonts w:ascii="Times New Roman"/>
          <w:b w:val="false"/>
          <w:i w:val="false"/>
          <w:color w:val="000000"/>
          <w:sz w:val="28"/>
        </w:rPr>
        <w:t>
      При этом электронная копия договора загружается на электронную платформу закупок в срок не более 5 (пяти) рабочих дней с даты заключения договора о закупках.</w:t>
      </w:r>
    </w:p>
    <w:bookmarkEnd w:id="39"/>
    <w:bookmarkStart w:name="z53" w:id="40"/>
    <w:p>
      <w:pPr>
        <w:spacing w:after="0"/>
        <w:ind w:left="0"/>
        <w:jc w:val="both"/>
      </w:pPr>
      <w:r>
        <w:rPr>
          <w:rFonts w:ascii="Times New Roman"/>
          <w:b w:val="false"/>
          <w:i w:val="false"/>
          <w:color w:val="000000"/>
          <w:sz w:val="28"/>
        </w:rPr>
        <w:t>
      В случае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законодательства Республики Казахстан.";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"130. В случае, если договором о закупках предусматривается выплата аванса (предоплаты) победитель конкурса обязан вместе с обеспечением исполнения договора в срок не позднее 10 (десяти) рабочих дней со дня заключения договора о закупках предоставить обеспечение возврата в размере суммы аванса (предоплаты).</w:t>
      </w:r>
    </w:p>
    <w:bookmarkEnd w:id="41"/>
    <w:bookmarkStart w:name="z56" w:id="42"/>
    <w:p>
      <w:pPr>
        <w:spacing w:after="0"/>
        <w:ind w:left="0"/>
        <w:jc w:val="both"/>
      </w:pPr>
      <w:r>
        <w:rPr>
          <w:rFonts w:ascii="Times New Roman"/>
          <w:b w:val="false"/>
          <w:i w:val="false"/>
          <w:color w:val="000000"/>
          <w:sz w:val="28"/>
        </w:rPr>
        <w:t xml:space="preserve">
      Обеспечение возврата аванса (предоплаты) предоставляется одним из следующих способов: банковская гарантия; страхование гражданской ответственности с указанием обеспечения возврата аванса; страхование исполнения обязательств по договору (страховая гарантия); депозитный вклад или блокировка денежных средств на счетах банков второго уровня в пользу заказчика; иные финансовые инструменты, предусмотренные законодательством Республики Казахстан. </w:t>
      </w:r>
    </w:p>
    <w:bookmarkEnd w:id="42"/>
    <w:bookmarkStart w:name="z57" w:id="43"/>
    <w:p>
      <w:pPr>
        <w:spacing w:after="0"/>
        <w:ind w:left="0"/>
        <w:jc w:val="both"/>
      </w:pPr>
      <w:r>
        <w:rPr>
          <w:rFonts w:ascii="Times New Roman"/>
          <w:b w:val="false"/>
          <w:i w:val="false"/>
          <w:color w:val="000000"/>
          <w:sz w:val="28"/>
        </w:rPr>
        <w:t xml:space="preserve">
      Страхование исполнения обязательств по договору (страховая гарантия) оформляется посредством заключения договора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3"/>
    <w:bookmarkStart w:name="z58" w:id="44"/>
    <w:p>
      <w:pPr>
        <w:spacing w:after="0"/>
        <w:ind w:left="0"/>
        <w:jc w:val="both"/>
      </w:pPr>
      <w:r>
        <w:rPr>
          <w:rFonts w:ascii="Times New Roman"/>
          <w:b w:val="false"/>
          <w:i w:val="false"/>
          <w:color w:val="000000"/>
          <w:sz w:val="28"/>
        </w:rPr>
        <w:t>
      Выбор вида обеспечения определяется заказчиком с учетом финансового состояния победителя конкурса и специфики договора.</w:t>
      </w:r>
    </w:p>
    <w:bookmarkEnd w:id="44"/>
    <w:bookmarkStart w:name="z59" w:id="45"/>
    <w:p>
      <w:pPr>
        <w:spacing w:after="0"/>
        <w:ind w:left="0"/>
        <w:jc w:val="both"/>
      </w:pPr>
      <w:r>
        <w:rPr>
          <w:rFonts w:ascii="Times New Roman"/>
          <w:b w:val="false"/>
          <w:i w:val="false"/>
          <w:color w:val="000000"/>
          <w:sz w:val="28"/>
        </w:rPr>
        <w:t>
      Предельный размер авансового платежа по договору не может превышать тридцати процентов от суммы заключенного договора.";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61" w:id="46"/>
    <w:p>
      <w:pPr>
        <w:spacing w:after="0"/>
        <w:ind w:left="0"/>
        <w:jc w:val="both"/>
      </w:pPr>
      <w:r>
        <w:rPr>
          <w:rFonts w:ascii="Times New Roman"/>
          <w:b w:val="false"/>
          <w:i w:val="false"/>
          <w:color w:val="000000"/>
          <w:sz w:val="28"/>
        </w:rPr>
        <w:t>
      "134. Дополнительное обеспечение вносится в одной из следующих форм:</w:t>
      </w:r>
    </w:p>
    <w:bookmarkEnd w:id="46"/>
    <w:bookmarkStart w:name="z62" w:id="47"/>
    <w:p>
      <w:pPr>
        <w:spacing w:after="0"/>
        <w:ind w:left="0"/>
        <w:jc w:val="both"/>
      </w:pPr>
      <w:r>
        <w:rPr>
          <w:rFonts w:ascii="Times New Roman"/>
          <w:b w:val="false"/>
          <w:i w:val="false"/>
          <w:color w:val="000000"/>
          <w:sz w:val="28"/>
        </w:rPr>
        <w:t>
      1) денежное обеспечение - в размере 0,5% от стоимости договора за каждый полученный балл по критерию "гарантия качества";</w:t>
      </w:r>
    </w:p>
    <w:bookmarkEnd w:id="47"/>
    <w:bookmarkStart w:name="z63" w:id="48"/>
    <w:p>
      <w:pPr>
        <w:spacing w:after="0"/>
        <w:ind w:left="0"/>
        <w:jc w:val="both"/>
      </w:pPr>
      <w:r>
        <w:rPr>
          <w:rFonts w:ascii="Times New Roman"/>
          <w:b w:val="false"/>
          <w:i w:val="false"/>
          <w:color w:val="000000"/>
          <w:sz w:val="28"/>
        </w:rPr>
        <w:t>
      2) страхование исполнения гарантийных обязательств на сумму в размере 0,5% от стоимости договора за каждый год заявленного гарантийного срока, оформленное в виде страхового полиса, действующего на весь гарантийный период.".</w:t>
      </w:r>
    </w:p>
    <w:bookmarkEnd w:id="48"/>
    <w:bookmarkStart w:name="z64" w:id="49"/>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9"/>
    <w:bookmarkStart w:name="z65" w:id="5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0"/>
    <w:bookmarkStart w:name="z66" w:id="5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1"/>
    <w:bookmarkStart w:name="z67" w:id="5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промышленности и строительства Республики Казахстан. </w:t>
      </w:r>
    </w:p>
    <w:bookmarkEnd w:id="52"/>
    <w:bookmarkStart w:name="z68" w:id="5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3"/>
    <w:bookmarkStart w:name="z69" w:id="54"/>
    <w:p>
      <w:pPr>
        <w:spacing w:after="0"/>
        <w:ind w:left="0"/>
        <w:jc w:val="both"/>
      </w:pPr>
      <w:r>
        <w:rPr>
          <w:rFonts w:ascii="Times New Roman"/>
          <w:b w:val="false"/>
          <w:i w:val="false"/>
          <w:color w:val="000000"/>
          <w:sz w:val="28"/>
        </w:rPr>
        <w:t>
      5. Установить, что с 1 июля 2026 года:</w:t>
      </w:r>
    </w:p>
    <w:bookmarkEnd w:id="54"/>
    <w:bookmarkStart w:name="z70" w:id="55"/>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в следующей редакции:</w:t>
      </w:r>
    </w:p>
    <w:bookmarkEnd w:id="55"/>
    <w:bookmarkStart w:name="z71" w:id="56"/>
    <w:p>
      <w:pPr>
        <w:spacing w:after="0"/>
        <w:ind w:left="0"/>
        <w:jc w:val="both"/>
      </w:pPr>
      <w:r>
        <w:rPr>
          <w:rFonts w:ascii="Times New Roman"/>
          <w:b w:val="false"/>
          <w:i w:val="false"/>
          <w:color w:val="000000"/>
          <w:sz w:val="28"/>
        </w:rPr>
        <w:t>
      "47. В период предварительного квалификационного отбора заявки потенциальных поставщиков после их вскрытия на электронном портале закупок, доступны квалификационному органу, наблюдателям и секретарю только в части, необходимой для проведения оценки опыта работы по аналогичным проектам, расчҰта показателя загрузки и подтверждения наличия трудовых ресурсов. Полный доступ к просмотру заявок потенциальных поставщиков предоставляется после подписания итогов конкурса.</w:t>
      </w:r>
    </w:p>
    <w:bookmarkEnd w:id="56"/>
    <w:bookmarkStart w:name="z72" w:id="57"/>
    <w:p>
      <w:pPr>
        <w:spacing w:after="0"/>
        <w:ind w:left="0"/>
        <w:jc w:val="both"/>
      </w:pPr>
      <w:r>
        <w:rPr>
          <w:rFonts w:ascii="Times New Roman"/>
          <w:b w:val="false"/>
          <w:i w:val="false"/>
          <w:color w:val="000000"/>
          <w:sz w:val="28"/>
        </w:rPr>
        <w:t>
      При этом, сведения о наличии/отсутствии задолженности по налогам и просроченной задолженности по заработной плате, а также соответствие потенциального поставщика неценовому критерию по регистрации потенциального поставщика по месту реализации проекта производится автоматически посредством электронного портала закупок на основании регистрационных данных потенциального поставщика и сведений, полученных из государственных информационных систем.";</w:t>
      </w:r>
    </w:p>
    <w:bookmarkEnd w:id="57"/>
    <w:bookmarkStart w:name="z73" w:id="58"/>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в следующей редакции:</w:t>
      </w:r>
    </w:p>
    <w:bookmarkEnd w:id="58"/>
    <w:bookmarkStart w:name="z74" w:id="59"/>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электронной платформой закупок автоматически на основании сведений органов государственных доходов;";</w:t>
      </w:r>
    </w:p>
    <w:bookmarkEnd w:id="59"/>
    <w:bookmarkStart w:name="z75" w:id="60"/>
    <w:p>
      <w:pPr>
        <w:spacing w:after="0"/>
        <w:ind w:left="0"/>
        <w:jc w:val="both"/>
      </w:pPr>
      <w:r>
        <w:rPr>
          <w:rFonts w:ascii="Times New Roman"/>
          <w:b w:val="false"/>
          <w:i w:val="false"/>
          <w:color w:val="000000"/>
          <w:sz w:val="28"/>
        </w:rPr>
        <w:t xml:space="preserve">
      абзацы девятнадцатый и двадцатый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действуют в следующей редакции:</w:t>
      </w:r>
    </w:p>
    <w:bookmarkEnd w:id="60"/>
    <w:bookmarkStart w:name="z76" w:id="61"/>
    <w:p>
      <w:pPr>
        <w:spacing w:after="0"/>
        <w:ind w:left="0"/>
        <w:jc w:val="both"/>
      </w:pPr>
      <w:r>
        <w:rPr>
          <w:rFonts w:ascii="Times New Roman"/>
          <w:b w:val="false"/>
          <w:i w:val="false"/>
          <w:color w:val="000000"/>
          <w:sz w:val="28"/>
        </w:rPr>
        <w:t>
      "68. Финансовая устойчивость потенциального поставщика определяется электронной платформой закупок автоматически на основании следующих сведений органов государственных доходов:</w:t>
      </w:r>
    </w:p>
    <w:bookmarkEnd w:id="61"/>
    <w:bookmarkStart w:name="z77" w:id="62"/>
    <w:p>
      <w:pPr>
        <w:spacing w:after="0"/>
        <w:ind w:left="0"/>
        <w:jc w:val="both"/>
      </w:pPr>
      <w:r>
        <w:rPr>
          <w:rFonts w:ascii="Times New Roman"/>
          <w:b w:val="false"/>
          <w:i w:val="false"/>
          <w:color w:val="000000"/>
          <w:sz w:val="28"/>
        </w:rPr>
        <w:t>
      1) доходы;</w:t>
      </w:r>
    </w:p>
    <w:bookmarkEnd w:id="62"/>
    <w:bookmarkStart w:name="z78" w:id="63"/>
    <w:p>
      <w:pPr>
        <w:spacing w:after="0"/>
        <w:ind w:left="0"/>
        <w:jc w:val="both"/>
      </w:pPr>
      <w:r>
        <w:rPr>
          <w:rFonts w:ascii="Times New Roman"/>
          <w:b w:val="false"/>
          <w:i w:val="false"/>
          <w:color w:val="000000"/>
          <w:sz w:val="28"/>
        </w:rPr>
        <w:t>
      2) уплаченные налоги;</w:t>
      </w:r>
    </w:p>
    <w:bookmarkEnd w:id="63"/>
    <w:bookmarkStart w:name="z79" w:id="64"/>
    <w:p>
      <w:pPr>
        <w:spacing w:after="0"/>
        <w:ind w:left="0"/>
        <w:jc w:val="both"/>
      </w:pPr>
      <w:r>
        <w:rPr>
          <w:rFonts w:ascii="Times New Roman"/>
          <w:b w:val="false"/>
          <w:i w:val="false"/>
          <w:color w:val="000000"/>
          <w:sz w:val="28"/>
        </w:rPr>
        <w:t>
      3) основные средства;</w:t>
      </w:r>
    </w:p>
    <w:bookmarkEnd w:id="64"/>
    <w:bookmarkStart w:name="z80" w:id="65"/>
    <w:p>
      <w:pPr>
        <w:spacing w:after="0"/>
        <w:ind w:left="0"/>
        <w:jc w:val="both"/>
      </w:pPr>
      <w:r>
        <w:rPr>
          <w:rFonts w:ascii="Times New Roman"/>
          <w:b w:val="false"/>
          <w:i w:val="false"/>
          <w:color w:val="000000"/>
          <w:sz w:val="28"/>
        </w:rPr>
        <w:t>
      4) фонд оплаты труда.</w:t>
      </w:r>
    </w:p>
    <w:bookmarkEnd w:id="65"/>
    <w:bookmarkStart w:name="z81" w:id="66"/>
    <w:p>
      <w:pPr>
        <w:spacing w:after="0"/>
        <w:ind w:left="0"/>
        <w:jc w:val="both"/>
      </w:pPr>
      <w:r>
        <w:rPr>
          <w:rFonts w:ascii="Times New Roman"/>
          <w:b w:val="false"/>
          <w:i w:val="false"/>
          <w:color w:val="000000"/>
          <w:sz w:val="28"/>
        </w:rPr>
        <w:t>
      69. Потенциальный поставщик признается финансово устойчивым, если он соответствует в совокупности следующим условиям:</w:t>
      </w:r>
    </w:p>
    <w:bookmarkEnd w:id="66"/>
    <w:bookmarkStart w:name="z82" w:id="67"/>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закупки;</w:t>
      </w:r>
    </w:p>
    <w:bookmarkEnd w:id="67"/>
    <w:bookmarkStart w:name="z83" w:id="68"/>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68"/>
    <w:bookmarkStart w:name="z84" w:id="69"/>
    <w:p>
      <w:pPr>
        <w:spacing w:after="0"/>
        <w:ind w:left="0"/>
        <w:jc w:val="both"/>
      </w:pPr>
      <w:r>
        <w:rPr>
          <w:rFonts w:ascii="Times New Roman"/>
          <w:b w:val="false"/>
          <w:i w:val="false"/>
          <w:color w:val="000000"/>
          <w:sz w:val="28"/>
        </w:rPr>
        <w:t>
      Датой уплаченных налогов считается календарный год, в котором уплачен налог.</w:t>
      </w:r>
    </w:p>
    <w:bookmarkEnd w:id="69"/>
    <w:bookmarkStart w:name="z85" w:id="70"/>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70"/>
    <w:bookmarkStart w:name="z86" w:id="71"/>
    <w:p>
      <w:pPr>
        <w:spacing w:after="0"/>
        <w:ind w:left="0"/>
        <w:jc w:val="both"/>
      </w:pPr>
      <w:r>
        <w:rPr>
          <w:rFonts w:ascii="Times New Roman"/>
          <w:b w:val="false"/>
          <w:i w:val="false"/>
          <w:color w:val="000000"/>
          <w:sz w:val="28"/>
        </w:rPr>
        <w:t>
      ПУН = УН / СД х 100 %,</w:t>
      </w:r>
    </w:p>
    <w:bookmarkEnd w:id="71"/>
    <w:bookmarkStart w:name="z87" w:id="72"/>
    <w:p>
      <w:pPr>
        <w:spacing w:after="0"/>
        <w:ind w:left="0"/>
        <w:jc w:val="both"/>
      </w:pPr>
      <w:r>
        <w:rPr>
          <w:rFonts w:ascii="Times New Roman"/>
          <w:b w:val="false"/>
          <w:i w:val="false"/>
          <w:color w:val="000000"/>
          <w:sz w:val="28"/>
        </w:rPr>
        <w:t>
      где:</w:t>
      </w:r>
    </w:p>
    <w:bookmarkEnd w:id="72"/>
    <w:bookmarkStart w:name="z88" w:id="73"/>
    <w:p>
      <w:pPr>
        <w:spacing w:after="0"/>
        <w:ind w:left="0"/>
        <w:jc w:val="both"/>
      </w:pPr>
      <w:r>
        <w:rPr>
          <w:rFonts w:ascii="Times New Roman"/>
          <w:b w:val="false"/>
          <w:i w:val="false"/>
          <w:color w:val="000000"/>
          <w:sz w:val="28"/>
        </w:rPr>
        <w:t>
      ПУН – показатель уплаченных налогов;</w:t>
      </w:r>
    </w:p>
    <w:bookmarkEnd w:id="73"/>
    <w:bookmarkStart w:name="z89" w:id="74"/>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74"/>
    <w:bookmarkStart w:name="z90" w:id="75"/>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75"/>
    <w:bookmarkStart w:name="z91" w:id="76"/>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закупки, но не более 400 000-кратного размера месячного расчетного показателя, установленного на соответствующий финансовый год;</w:t>
      </w:r>
    </w:p>
    <w:bookmarkEnd w:id="76"/>
    <w:bookmarkStart w:name="z92" w:id="77"/>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закупки.";</w:t>
      </w:r>
    </w:p>
    <w:bookmarkEnd w:id="77"/>
    <w:bookmarkStart w:name="z93" w:id="78"/>
    <w:p>
      <w:pPr>
        <w:spacing w:after="0"/>
        <w:ind w:left="0"/>
        <w:jc w:val="both"/>
      </w:pPr>
      <w:r>
        <w:rPr>
          <w:rFonts w:ascii="Times New Roman"/>
          <w:b w:val="false"/>
          <w:i w:val="false"/>
          <w:color w:val="000000"/>
          <w:sz w:val="28"/>
        </w:rPr>
        <w:t xml:space="preserve">
      абзац тридцать первый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в следующей редакции:</w:t>
      </w:r>
    </w:p>
    <w:bookmarkEnd w:id="78"/>
    <w:bookmarkStart w:name="z94" w:id="79"/>
    <w:p>
      <w:pPr>
        <w:spacing w:after="0"/>
        <w:ind w:left="0"/>
        <w:jc w:val="both"/>
      </w:pPr>
      <w:r>
        <w:rPr>
          <w:rFonts w:ascii="Times New Roman"/>
          <w:b w:val="false"/>
          <w:i w:val="false"/>
          <w:color w:val="000000"/>
          <w:sz w:val="28"/>
        </w:rPr>
        <w:t>
      "Наибольший годовой доход потенциального поставщика за 3 года - максимальное значение годового дохода от основной деятельности за три завершҰнных финансовых года, определяемое на основании данных органов государственных доходов Республики Казахстан.".</w:t>
      </w:r>
    </w:p>
    <w:bookmarkEnd w:id="79"/>
    <w:bookmarkStart w:name="z95" w:id="80"/>
    <w:p>
      <w:pPr>
        <w:spacing w:after="0"/>
        <w:ind w:left="0"/>
        <w:jc w:val="both"/>
      </w:pPr>
      <w:r>
        <w:rPr>
          <w:rFonts w:ascii="Times New Roman"/>
          <w:b w:val="false"/>
          <w:i w:val="false"/>
          <w:color w:val="000000"/>
          <w:sz w:val="28"/>
        </w:rPr>
        <w:t xml:space="preserve">
      абзац сорок третий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в следующей редакции:</w:t>
      </w:r>
    </w:p>
    <w:bookmarkEnd w:id="80"/>
    <w:bookmarkStart w:name="z96" w:id="81"/>
    <w:p>
      <w:pPr>
        <w:spacing w:after="0"/>
        <w:ind w:left="0"/>
        <w:jc w:val="both"/>
      </w:pPr>
      <w:r>
        <w:rPr>
          <w:rFonts w:ascii="Times New Roman"/>
          <w:b w:val="false"/>
          <w:i w:val="false"/>
          <w:color w:val="000000"/>
          <w:sz w:val="28"/>
        </w:rPr>
        <w:t>
      "79. Всем участникам консорциума необходимо соответствовать квалификационным требованиям, предусмотренным параграфами 9, 11 и 12 настоящих Правил, за исключением предусмотренных подпунктом 1) пункта 69 настоящих Правил, по которому расчет производится суммарно по всем участникам консорциума.";</w:t>
      </w:r>
    </w:p>
    <w:bookmarkEnd w:id="81"/>
    <w:bookmarkStart w:name="z97" w:id="82"/>
    <w:p>
      <w:pPr>
        <w:spacing w:after="0"/>
        <w:ind w:left="0"/>
        <w:jc w:val="both"/>
      </w:pPr>
      <w:r>
        <w:rPr>
          <w:rFonts w:ascii="Times New Roman"/>
          <w:b w:val="false"/>
          <w:i w:val="false"/>
          <w:color w:val="000000"/>
          <w:sz w:val="28"/>
        </w:rPr>
        <w:t xml:space="preserve">
      абзац сорок пятый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в следующей редакции:</w:t>
      </w:r>
    </w:p>
    <w:bookmarkEnd w:id="82"/>
    <w:bookmarkStart w:name="z98" w:id="83"/>
    <w:p>
      <w:pPr>
        <w:spacing w:after="0"/>
        <w:ind w:left="0"/>
        <w:jc w:val="both"/>
      </w:pPr>
      <w:r>
        <w:rPr>
          <w:rFonts w:ascii="Times New Roman"/>
          <w:b w:val="false"/>
          <w:i w:val="false"/>
          <w:color w:val="000000"/>
          <w:sz w:val="28"/>
        </w:rPr>
        <w:t>
      "95. Неценовой критерий по нахождению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электронной платформой закупок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 За соответствие данному критерию потенциальному поставщику присваивается 2 балла.".</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 и строительства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00" w:id="84"/>
      <w:r>
        <w:rPr>
          <w:rFonts w:ascii="Times New Roman"/>
          <w:b w:val="false"/>
          <w:i w:val="false"/>
          <w:color w:val="000000"/>
          <w:sz w:val="28"/>
        </w:rPr>
        <w:t>
      "СОГЛАСОВАНО"</w:t>
      </w:r>
    </w:p>
    <w:bookmarkEnd w:id="8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1" w:id="85"/>
      <w:r>
        <w:rPr>
          <w:rFonts w:ascii="Times New Roman"/>
          <w:b w:val="false"/>
          <w:i w:val="false"/>
          <w:color w:val="000000"/>
          <w:sz w:val="28"/>
        </w:rPr>
        <w:t>
      "СОГЛАСОВАНО"</w:t>
      </w:r>
    </w:p>
    <w:bookmarkEnd w:id="8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2" w:id="86"/>
      <w:r>
        <w:rPr>
          <w:rFonts w:ascii="Times New Roman"/>
          <w:b w:val="false"/>
          <w:i w:val="false"/>
          <w:color w:val="000000"/>
          <w:sz w:val="28"/>
        </w:rPr>
        <w:t>
      "СОГЛАСОВАНО"</w:t>
      </w:r>
    </w:p>
    <w:bookmarkEnd w:id="8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3" w:id="87"/>
      <w:r>
        <w:rPr>
          <w:rFonts w:ascii="Times New Roman"/>
          <w:b w:val="false"/>
          <w:i w:val="false"/>
          <w:color w:val="000000"/>
          <w:sz w:val="28"/>
        </w:rPr>
        <w:t>
      "СОГЛАСОВАНО"</w:t>
      </w:r>
    </w:p>
    <w:bookmarkEnd w:id="8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4" w:id="88"/>
      <w:r>
        <w:rPr>
          <w:rFonts w:ascii="Times New Roman"/>
          <w:b w:val="false"/>
          <w:i w:val="false"/>
          <w:color w:val="000000"/>
          <w:sz w:val="28"/>
        </w:rPr>
        <w:t>
      "СОГЛАСОВАНО"</w:t>
      </w:r>
    </w:p>
    <w:bookmarkEnd w:id="8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