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6791" w14:textId="1e06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имущество, проведения государственного технического обследования недвижимого имущества, Правил оказания государственной услуги "Выдача дубликата кадастрового паспорта объекта недвижимости" и Правил присвоения кадастрового номера первичным и вторичным объектам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января 2026 года № 65. Зарегистрирован в Министерстве юстиции Республики Казахстан 26 января 2026 года № 37879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мая 2013 года № 156 "Об утверждении Правил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имущество, проведения государственного технического обследования недвижимого имущества, Правил оказания государственной услуги "Выдача дубликата кадастрового паспорта объекта недвижимости" и Правил присвоения кадастрового номера первичным и вторичным объектам недвижимости" (зарегистрирован в Реестре государственной регистрации нормативных правовых актов за № 8469)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имущество, проведения государственного технического обследования недвижимого имущества и Правила оказания государственной услуги "Выдача дубликата кадастрового паспорта объекта недвижимости",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 приведен в Перечне государственной услуги "Внесение в информационную систему единого государственного кадастра недвижимости идентификационных и технических сведений зданий, сооружений и (или) их составляющих на вновь созданное недвижимое имущество,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 (далее – Перечень № 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подает заявление на оказание государственной услуги по внесению в информационную систему единого государственного кадастра недвижимости идентификационных и технических сведений зданий, сооружений и (или) их составляющих на вновь созданное недвижимое имущество,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согласно пункту 8 Перечня № 1 через веб-портал "электронного правительства": www.egov.kz (далее – портал).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необходимых документов: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статус о принятии запроса для оказания государственной услуги с указанием места и даты получения результата.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согласие услугополучателя на использование сведений, составляющих охраняемую законом тайну, содержащихся в информационных системах подтверждается электронной цифровой подписью (далее – ЭЦП), либо посредством абонентского устройства сотовой связи.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Перечнем № 1, и (или) документов с истекшим сроком действия, услугодатель направляет уведомление об отказе в дальнейшем рассмотрении документов.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архива отдела технического обследования объектов недвижимости осуществляет поиск и передачу инвентарных дел ответственному исполнителю.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отдела технического обследования объектов недвижимости услугодателя рассматривает пакет документов, совершает действия: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внесению в базу данных идентификационных и технических сведений зданий, сооружений и (или) их составляющих на вновь созданное недвижимое имущество: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информационную систему единого государственного кадастра недвижимости идентификационные и технические сведения зданий, сооружений и (или) их составляющих на вновь созданное недвижимое имущество;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услугополучателю в личный кабинет уведомление о внесении в информационную систему единого государственного кадастра недвижимости идентификационных и технических сведений зданий, сооружений и (или) их составляющих на вновь созданное недвижимое имущество;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изготовлению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направляет руководству на согласования и подпись изготовленные кадастровый паспорт объекта недвижимости и заключения.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личный кабинет направляется уведомление о необходимости произведения доплаты за выполненную работу по государственному техническому обследованию объекта недвижимости.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процесс оказания по выдаче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регламентирован Главой 3 настоящих Правил.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посредством ЭЦП подписывает результат государственной услуги.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информационную систему единого государственного кадастра недвижимости идентификационных и технических сведений зданий, сооружений и (или) их составляющих на вновь созданное недвижимое имущество - один рабочий день;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в зависимости от вида объекта недвижимости: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квартиры, комнаты в общежитиях выдается на третий рабочий день;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дома, индивидуальные гаражи, дачные строения выдается на пятый рабочий день;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объекты недвижимости общей площадью до 1000 квадратных метров выдается на седьмой рабочий день;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общей площадью более 1000 квадратных метров выдается на десятый рабочий день;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недвижимости за исключением объектов недвижимости, указанных в абзацах два и три данного подпункта, относящиеся к первой категории сложности выдается на пятый рабочий день.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первой категории сложности объекта недвижимости относятся строения прямоугольной формы, состоящие не более чем из четырех помещений согласно Инструкцию по государственному техническому обследованию объектов недвижимости,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июня 2023 года № 367 (зарегистрирован в Реестре государственной регистрации нормативных правовых актов № 32746).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продление срока производится в зависимости от категории сложности объекта по согласованию с услугополучателем, при этом, общий срок не превышает двух месяцев со дня обращения услугополучателя.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случае наличия оснований для отказа в оказании государственной услуги по основаниям, предусмотренным пунктом 9 Перечня услугодатель: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услугам по которым установлен менее чем трехдневный срок оказания формирует уведомление об отказе в оказании государственной услуги;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услуги, а также времени и месте проведения заслушивания чтобы выразить услугополучателю позицию по предварительному решению.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(два) рабочих дней со дня его получения.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уведомление об отказе в оказании государственной услуги.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внесении в информационную систему единого государственного кадастра недвижимости идентификационных и технических сведений зданий, сооружений и (или) их составляющих на вновь созданное недвижимое имущество либо уведомление об отказе в оказании государственной услуги;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паспорт объекта недвижимости либо уведомление об отказе в оказании государственной услуги;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либо уведомление об отказе в оказании государственной услуги.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 установлении расхождений идентификационных и технических сведений зданий, сооружений и (или) их составляющих на вновь созданное недвижимое имущество по итогам проведенного технического обследования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кадастровый паспорт объектов недвижимости и заключение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направляется в личный кабинет услугополучателя после внесения доплаты за выдачу кадастрового паспорта объекта недвижимости, при заключении договора на оказание услуг с юридическими лицами, дополнительно предоставляется подписанный акт выполненных работ.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государственного технического обследования недвижимого имущества определяются технические, идентификационные характеристики зданий, сооружений и (или) их составляющих, необходимых для ведения единого государственного кадастра недвижимости.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техническое обследование недвижимого имущества производится в следующем порядке: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осуществляет выезд для технического обследования объекта недвижимости;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обследует, проводит обмер объекта недвижимости с целью установления фактов реконструкции, переоборудования, перепланировки вновь построенных и пристроенных строений и сооружений в рамках поданного заявления;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составляет Абрис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учетом выявленных изменении внешних границ земельного участка или изменений внутренних ситуаций земельного участка, связанных с возведением или сносом строений и сооружений, либо изменением связанных с проведенными реконструкциями, переоборудованиями, перепланировками объекта.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составленный абрис сохраняется, внесение в него исправлений не допускается. Абрис составляется в электронном виде или простым карандашом, чтобы изображаемые на нем строения и сооружения по своему очертанию были близки к действительности и располагались в относительной масштабности;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в существующий план земельного участка пристроенные строения и сооружения, а также реконструированные, вновь построенные объекты в случае изменения их конфигурации и заполняет экспликацию с учетом выявленных изменений;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вычерчивает поэтажный план с учетом изменений и заполняет экспликацию к нему;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 расчеты стоимости государственной услуги;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изготавливает кадастровый паспорт объекта недвижимости;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изготовленный кадастровый паспорт объекта недвижимости согласуется и подписывается руководителем;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все новые и погашенные материалы формируют в единое инвентарное дело,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погашенные материалы не уничтожаются, а в хронологическом порядке подшиваются в инвентарное дело.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расхождений осуществляется на основании государственного технического обследования недвижимого имущества. Сведения о выявленных расхождениях вносятся в информационную систему единого государственного кадастра недвижимости и изготавливается Заключение с указанием фактов изменений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кадастрового паспорта объекта недвижимости.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кадастровом паспорте объекта недвижимости заполняются технические характеристики основного объекта недвижимости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технические характеристики служебных (хозяйственных) строений и сооружений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собственника объекта недвижимости кадастровый паспорт объекта недвижимости сохраняет юридическую силу, так как является документом содержащий технические, идентификационные характеристики первичного или вторичного объекта.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идентификационных характеристик недвижимого имущества происходящих по совместному решению местных представительных и исполнительных органов, в том числе при изменении наименования населенных пунктов, названия улиц, а также порядкового номера зданий, иных строений (адреса) или кадастровых номеров, Государственной корпорацией вносятся исправления в кадастровый паспорт объекта недвижимости в течение 1 рабочего дня, без выезда на место, на безвозмездной основе.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расхождений идентификационных и технических сведений вновь созданного недвижимого имущества, содержащихся в правоустанавливающем документе, с фактическими данными правообладатель вправе подать заявление услугодателю на выявление таких расхождений.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государственного технического обследования недвижимого имущества услугодателем определяются технические, идентификационные характеристики зданий, сооружений и (или) их составляющих, необходимых для ведения единого государственного кадастра недвижимости.";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Прием заявления и выдача результата оказания государственной услуги осуществляется через веб-портал "электронного правительства": www.egov.kz (далее – портал).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начала процедуры (действия) по оказанию государственной услуги является заявление услугополучателя к услугодателю с пакетом документов согласно перечню, предусмотренному в пункте 8 Перечня № 2.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Перечнем № 2, и (или) документов с истекшим сроком действия услугодатель направляет уведомление об отказе в дальнейшем рассмотрении документов.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архива отдела технического обследования объектов недвижимости, осуществляет поиск и передачу инвентарных дел ответственному исполнителю.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при отсутствии оснований для отказа в выдаче дубликата воспроизводит копию с инвентарного дела кадастрового паспорта объекта недвижимости, направляет руководству для подписания.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посредством ЭЦП подписывает результат государственной услуги.";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Результат оказания государственной услуги - услугополучателю в личный кабинет направляется дубликат кадастрового паспорта объекта недвижимости с электронной отметкой "Дубликат" либо уведомление об отказе в оказании государственной услуги.";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1 и 2 к настоящему приказу;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7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технических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вновь 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кадастрового паспорта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недвижимости"</w:t>
            </w:r>
          </w:p>
        </w:tc>
      </w:tr>
    </w:tbl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"Внесение в информационную систему единого государственного кадастра</w:t>
      </w:r>
      <w:r>
        <w:br/>
      </w:r>
      <w:r>
        <w:rPr>
          <w:rFonts w:ascii="Times New Roman"/>
          <w:b/>
          <w:i w:val="false"/>
          <w:color w:val="000000"/>
        </w:rPr>
        <w:t>недвижимости идентификационных и технических сведений зданий, сооружений</w:t>
      </w:r>
      <w:r>
        <w:br/>
      </w:r>
      <w:r>
        <w:rPr>
          <w:rFonts w:ascii="Times New Roman"/>
          <w:b/>
          <w:i w:val="false"/>
          <w:color w:val="000000"/>
        </w:rPr>
        <w:t>и (или) их составляющих на вновь созданное недвижимое имущество, выдача</w:t>
      </w:r>
      <w:r>
        <w:br/>
      </w:r>
      <w:r>
        <w:rPr>
          <w:rFonts w:ascii="Times New Roman"/>
          <w:b/>
          <w:i w:val="false"/>
          <w:color w:val="000000"/>
        </w:rPr>
        <w:t>кадастрового паспорта объекта недвижимости и заключения об установлении</w:t>
      </w:r>
      <w:r>
        <w:br/>
      </w:r>
      <w:r>
        <w:rPr>
          <w:rFonts w:ascii="Times New Roman"/>
          <w:b/>
          <w:i w:val="false"/>
          <w:color w:val="000000"/>
        </w:rPr>
        <w:t>расхождений идентификационных и технических сведений по итогам проведенного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технического обследования вновь созданного объекта недвижимости"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"Внесение в информационную систему единого государственного кадастра недвижимости идентификационных и технических сведений зданий, сооружений и (или) их составляющих на вновь созданное недвижимое имущество,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по месту нахождения объекта недвижимого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информационную систему единого государственного кадастра недвижимости идентификационных и технических сведений зданий, сооружений и (или) их составляющих на вновь созданное недвижимое имущество - один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кадастрового паспорта объекта недвижимости и заключения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в зависимости от вида объекта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квартиры, комнаты в общежитиях выдается на третий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дома, индивидуальные гаражи, дачные строения выдается на пятый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объекты недвижимости общей площадью до 1000 квадратных метров выдается на седьмой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общей площадью более 1000 квадратных метров выдается на десятый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недвижимости за исключением объектов недвижимости, указанных в абзацах два и три данного подпункта, относящиеся к первой категории сложности выдается на пятый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продление срока производится в зависимости от категории сложности объекта по согласованию с услугополучателем, при этом, общий срок не должен превышать двух месяцев со дня обращения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в информационную систему единого государственного кадастра недвижимости идентификационных и технических сведений зданий, сооружений и (или) их составляющих на вновь созданное недвижимое имущество либо уведомление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паспорт объекта недвижимости либо уведомление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либо уведомление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оформляется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либо уведомление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кадастрового паспорта объекта недвижимости выдается услугодателем после предоставления документа подтверждающего доплату за выдачу заключения с приложением кадастрового паспорта объекта недвижимости, а при заключении договора на оказание услуг с юридическими лицами, дополнительно предоставляется подписанный им акт выполненных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государственную услугу определяется в соответствии с Ценами на товары (работы, услуги), производимые и (или) реализуемые некоммерческим акционерным обществом "Государственная корпорация "Правительство для граждан", отнесенные к государственной монополии в сфере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государственному техническому обследованию зданий, сооружений и (или) их составляющих,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16 января 2024 года № 21/НҚ (далее – Цены на товары (работы,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также производится через портал посредством платежного шлюза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филиалах Государственной корпорации, осуществляющих государственную регистрацию права на недвижимое имущество - с понедельника по пятницу включительно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внесению в информационную систему единого государственного кадастра недвижимости идентификационных и технических сведений зданий, сооружений и (или) их составляющих на вновь созданное недвижимое имущество: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акта приемки объекта недвижимости в эксплуатацию и идентификационного документа на земельный участок;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подтверждающая оплату, за исключением оплаты, произведенной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выдаче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 при его наличии;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подтверждающая оплату за выдачу кадастрового паспорта объекта недвижимости, за исключением оплаты, произведенной через ПШЭП предоставляется в два этапа: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(работы,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результата государственной услуги производится полная оплата (доплата) за выполненную работу по государственному техническому обследованию объекта недвижимости согласно Цен на товары (работы,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(перерегистрации) юридического лица, сведения о документе, удостоверяющем личность физического лица, подтверждение произведенной оплаты,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 gov.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перейти в раздел "Цифровые документы" просмотреть необходимый документ для дальнейшего 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2026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технических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вновь 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 Правил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кадастрового паспорта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недвижимости"</w:t>
            </w:r>
          </w:p>
        </w:tc>
      </w:tr>
    </w:tbl>
    <w:bookmarkStart w:name="z12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дубликата кадастрового паспорта объекта недвижимости"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дубликата кадастрового паспорта объекта недвижимости"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по месту нахождения объекта недвижимого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кадастрового паспорта объекта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квартиры, комнаты в общежитиях, индивидуальные жилые дома, индивидуальные гаражи, дачные строения на первый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объекты недвижимости общей площадью до 1000 квадратных метров выдается на второй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недвижимости общей площадью более 1000 квадратных метров выдается на третий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(частично автоматизированная).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 личный кабинет направляется дубликат кадастрового паспорта объекта недвижимости с электронной отметкой "Дубликат" либо уведомление об отказе в оказании государственной услуги;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государственную услугу определяется в соответствии с Ценами на товары (работы, услуги), производимые и (или) реализуемые Государственной корпорацией "Правительство для граждан", отнесенные к государственной монополии в сфере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государственному техническому обследованию зданий, сооружений и (или) их составляющих,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16 января 2024 года № 21/НҚ (далее – Цены на товары (работы, услуги).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также производится через портал посредством платежного шлюза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филиалах Государственной корпорации, осуществляющих государственную регистрацию права на недвижимое имущество - с понедельника по пятницу включительно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удостоверенный ЭЦП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подтверждающая оплату за выдачу дубликата правоустанавливающего документа, за исключением оплаты, произведенной через ПШЭП.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(перерегистрации) юридического лица, сведения о документе, удостоверяющем личность физического лица, подтверждение произведенной оплаты,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 gov.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просмотреть необходимый документ для дальнейшего пользования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