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0754" w14:textId="7c90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национальной экономики Республики Казахстан от 16 июня 2025 года № 52 "О некоторых вопросах планирования и реализации проектов государственно-частного партнерства" и приказ исполняющего обязанности Министра национальной экономики Республики Казахстан от 25 ноября 2015 года № 713 "Об утверждении Правил приема объектов государственно-частного партнерства в государственную собственность"</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16 января 2026 года № 4. Зарегистрирован в Министерстве юстиции Республики Казахстан 19 января 2026 года № 37854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16 июня 2025 года № 52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36281)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"112. Изменения и (или) дополнения в конкурсную документацию вносятся по инициативе организатора конкурса или в ответ на запрос потенциального частного партнера.</w:t>
      </w:r>
    </w:p>
    <w:bookmarkEnd w:id="3"/>
    <w:bookmarkStart w:name="z9" w:id="4"/>
    <w:p>
      <w:pPr>
        <w:spacing w:after="0"/>
        <w:ind w:left="0"/>
        <w:jc w:val="both"/>
      </w:pPr>
      <w:r>
        <w:rPr>
          <w:rFonts w:ascii="Times New Roman"/>
          <w:b w:val="false"/>
          <w:i w:val="false"/>
          <w:color w:val="000000"/>
          <w:sz w:val="28"/>
        </w:rPr>
        <w:t>
      Для внесения изменений и (или) дополнений в конкурсную документацию организатор конкурса в срок не позднее 20 (двадцати) календарных дней до истечения срока представления конкурсных заявок объявляет о внесении изменений и (или) дополнений в конкурсную документацию, а в случае проведения повторного конкурса по определению частного партнера – в срок не позднее 10 (десяти) календарных дней.</w:t>
      </w:r>
    </w:p>
    <w:bookmarkEnd w:id="4"/>
    <w:bookmarkStart w:name="z10" w:id="5"/>
    <w:p>
      <w:pPr>
        <w:spacing w:after="0"/>
        <w:ind w:left="0"/>
        <w:jc w:val="both"/>
      </w:pPr>
      <w:r>
        <w:rPr>
          <w:rFonts w:ascii="Times New Roman"/>
          <w:b w:val="false"/>
          <w:i w:val="false"/>
          <w:color w:val="000000"/>
          <w:sz w:val="28"/>
        </w:rPr>
        <w:t>
      С даты размещения объявления о внесении изменений и (или) дополнений в конкурсную документацию на веб-портале государственно-частного партнерства, течение срока подачи конкурсных заявок приостанавливается до размещения измененной конкурсной документации.</w:t>
      </w:r>
    </w:p>
    <w:bookmarkEnd w:id="5"/>
    <w:bookmarkStart w:name="z11" w:id="6"/>
    <w:p>
      <w:pPr>
        <w:spacing w:after="0"/>
        <w:ind w:left="0"/>
        <w:jc w:val="both"/>
      </w:pPr>
      <w:r>
        <w:rPr>
          <w:rFonts w:ascii="Times New Roman"/>
          <w:b w:val="false"/>
          <w:i w:val="false"/>
          <w:color w:val="000000"/>
          <w:sz w:val="28"/>
        </w:rPr>
        <w:t xml:space="preserve">
      Организатор конкурса направляет проект изменений и (или) дополнений в конкурсную документацию на экспертизы и согласование в порядке, установленном </w:t>
      </w:r>
      <w:r>
        <w:rPr>
          <w:rFonts w:ascii="Times New Roman"/>
          <w:b w:val="false"/>
          <w:i w:val="false"/>
          <w:color w:val="000000"/>
          <w:sz w:val="28"/>
        </w:rPr>
        <w:t>параграфом 6</w:t>
      </w:r>
      <w:r>
        <w:rPr>
          <w:rFonts w:ascii="Times New Roman"/>
          <w:b w:val="false"/>
          <w:i w:val="false"/>
          <w:color w:val="000000"/>
          <w:sz w:val="28"/>
        </w:rPr>
        <w:t xml:space="preserve"> главы 2 настоящих Правил.";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"136. Рассмотрение и отбор конкурсных заявок осуществляются Комиссией с учетом критериев определения лучшей конкурсной заявки, установленных конкурсной документацией, в том числе следующих критериев:</w:t>
      </w:r>
    </w:p>
    <w:bookmarkEnd w:id="7"/>
    <w:bookmarkStart w:name="z14" w:id="8"/>
    <w:p>
      <w:pPr>
        <w:spacing w:after="0"/>
        <w:ind w:left="0"/>
        <w:jc w:val="both"/>
      </w:pPr>
      <w:r>
        <w:rPr>
          <w:rFonts w:ascii="Times New Roman"/>
          <w:b w:val="false"/>
          <w:i w:val="false"/>
          <w:color w:val="000000"/>
          <w:sz w:val="28"/>
        </w:rPr>
        <w:t>
      1) объем выплат государственных обязательств по проекту государственно-частного партнерства, который не может превышать объем выплат государственных обязательств, предусмотренный конкурсной документацией;</w:t>
      </w:r>
    </w:p>
    <w:bookmarkEnd w:id="8"/>
    <w:bookmarkStart w:name="z15" w:id="9"/>
    <w:p>
      <w:pPr>
        <w:spacing w:after="0"/>
        <w:ind w:left="0"/>
        <w:jc w:val="both"/>
      </w:pPr>
      <w:r>
        <w:rPr>
          <w:rFonts w:ascii="Times New Roman"/>
          <w:b w:val="false"/>
          <w:i w:val="false"/>
          <w:color w:val="000000"/>
          <w:sz w:val="28"/>
        </w:rPr>
        <w:t>
      2) срок выплат государственных обязательств по проекту государственно-частного партнерства;</w:t>
      </w:r>
    </w:p>
    <w:bookmarkEnd w:id="9"/>
    <w:bookmarkStart w:name="z16" w:id="10"/>
    <w:p>
      <w:pPr>
        <w:spacing w:after="0"/>
        <w:ind w:left="0"/>
        <w:jc w:val="both"/>
      </w:pPr>
      <w:r>
        <w:rPr>
          <w:rFonts w:ascii="Times New Roman"/>
          <w:b w:val="false"/>
          <w:i w:val="false"/>
          <w:color w:val="000000"/>
          <w:sz w:val="28"/>
        </w:rPr>
        <w:t>
      3) объем средств частного партнера, подлежащих привлечению для реализации проекта государственно-частного партнерства;</w:t>
      </w:r>
    </w:p>
    <w:bookmarkEnd w:id="10"/>
    <w:bookmarkStart w:name="z17" w:id="11"/>
    <w:p>
      <w:pPr>
        <w:spacing w:after="0"/>
        <w:ind w:left="0"/>
        <w:jc w:val="both"/>
      </w:pPr>
      <w:r>
        <w:rPr>
          <w:rFonts w:ascii="Times New Roman"/>
          <w:b w:val="false"/>
          <w:i w:val="false"/>
          <w:color w:val="000000"/>
          <w:sz w:val="28"/>
        </w:rPr>
        <w:t>
      4) сроки строительства, создания, реконструкции, модернизации и (или) эксплуатации объекта государственно-частного партнерства (месяцы, лет);</w:t>
      </w:r>
    </w:p>
    <w:bookmarkEnd w:id="11"/>
    <w:bookmarkStart w:name="z18" w:id="12"/>
    <w:p>
      <w:pPr>
        <w:spacing w:after="0"/>
        <w:ind w:left="0"/>
        <w:jc w:val="both"/>
      </w:pPr>
      <w:r>
        <w:rPr>
          <w:rFonts w:ascii="Times New Roman"/>
          <w:b w:val="false"/>
          <w:i w:val="false"/>
          <w:color w:val="000000"/>
          <w:sz w:val="28"/>
        </w:rPr>
        <w:t>
      5) технико-экономические показатели объекта договора государственно-частного партнерства;</w:t>
      </w:r>
    </w:p>
    <w:bookmarkEnd w:id="12"/>
    <w:bookmarkStart w:name="z19" w:id="13"/>
    <w:p>
      <w:pPr>
        <w:spacing w:after="0"/>
        <w:ind w:left="0"/>
        <w:jc w:val="both"/>
      </w:pPr>
      <w:r>
        <w:rPr>
          <w:rFonts w:ascii="Times New Roman"/>
          <w:b w:val="false"/>
          <w:i w:val="false"/>
          <w:color w:val="000000"/>
          <w:sz w:val="28"/>
        </w:rPr>
        <w:t>
      6) информация по доле внутристрановой ценности;</w:t>
      </w:r>
    </w:p>
    <w:bookmarkEnd w:id="13"/>
    <w:bookmarkStart w:name="z20" w:id="14"/>
    <w:p>
      <w:pPr>
        <w:spacing w:after="0"/>
        <w:ind w:left="0"/>
        <w:jc w:val="both"/>
      </w:pPr>
      <w:r>
        <w:rPr>
          <w:rFonts w:ascii="Times New Roman"/>
          <w:b w:val="false"/>
          <w:i w:val="false"/>
          <w:color w:val="000000"/>
          <w:sz w:val="28"/>
        </w:rPr>
        <w:t>
      7)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государственно-частного партнерства);</w:t>
      </w:r>
    </w:p>
    <w:bookmarkEnd w:id="14"/>
    <w:bookmarkStart w:name="z21" w:id="15"/>
    <w:p>
      <w:pPr>
        <w:spacing w:after="0"/>
        <w:ind w:left="0"/>
        <w:jc w:val="both"/>
      </w:pPr>
      <w:r>
        <w:rPr>
          <w:rFonts w:ascii="Times New Roman"/>
          <w:b w:val="false"/>
          <w:i w:val="false"/>
          <w:color w:val="000000"/>
          <w:sz w:val="28"/>
        </w:rPr>
        <w:t>
      8) наличие квалифицированных специалистов;</w:t>
      </w:r>
    </w:p>
    <w:bookmarkEnd w:id="15"/>
    <w:bookmarkStart w:name="z22" w:id="16"/>
    <w:p>
      <w:pPr>
        <w:spacing w:after="0"/>
        <w:ind w:left="0"/>
        <w:jc w:val="both"/>
      </w:pPr>
      <w:r>
        <w:rPr>
          <w:rFonts w:ascii="Times New Roman"/>
          <w:b w:val="false"/>
          <w:i w:val="false"/>
          <w:color w:val="000000"/>
          <w:sz w:val="28"/>
        </w:rPr>
        <w:t>
      9)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государственно-частного партнерства;</w:t>
      </w:r>
    </w:p>
    <w:bookmarkEnd w:id="16"/>
    <w:bookmarkStart w:name="z23" w:id="17"/>
    <w:p>
      <w:pPr>
        <w:spacing w:after="0"/>
        <w:ind w:left="0"/>
        <w:jc w:val="both"/>
      </w:pPr>
      <w:r>
        <w:rPr>
          <w:rFonts w:ascii="Times New Roman"/>
          <w:b w:val="false"/>
          <w:i w:val="false"/>
          <w:color w:val="000000"/>
          <w:sz w:val="28"/>
        </w:rPr>
        <w:t>
      10) риски, принимаемые на себя частным партнером.";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147</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"147. Организатор конкурса направляет на согласование проект договора государственно-частного партнерства, в том числе при внесении в него соответствующих изменений и (или) дополнений, с приложением копий протокола о признании лучшей конкурсной заявки, в центральный либо местный уполномоченный орган по исполнению бюджета, а также в уполномоченный орган, осуществляющий руководство в сферах естественных монополий (по проекту государственно-частного партнерства, реализуемому в сферах естественных монополий).</w:t>
      </w:r>
    </w:p>
    <w:bookmarkEnd w:id="18"/>
    <w:bookmarkStart w:name="z26" w:id="19"/>
    <w:p>
      <w:pPr>
        <w:spacing w:after="0"/>
        <w:ind w:left="0"/>
        <w:jc w:val="both"/>
      </w:pPr>
      <w:r>
        <w:rPr>
          <w:rFonts w:ascii="Times New Roman"/>
          <w:b w:val="false"/>
          <w:i w:val="false"/>
          <w:color w:val="000000"/>
          <w:sz w:val="28"/>
        </w:rPr>
        <w:t>
      Согласование проекта договора государственно-частного партнерства,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несогласования по каждому рассматриваемому вопросу.";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xml:space="preserve">
      "223. Регистрация договора государственно-частного партнерства, в том числе в случае отсутствия государственных обязательств по проекту государственно-частного партнерства, осуществляется центральным уполномоченным органом по исполнению бюджета или его территориальным подразделением, в соответствии с главой 14 Процедур казначейского исполнения бюджета и их кассового обслуживания, процедуры казначейского учета и мониторинга,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20"/>
    <w:bookmarkStart w:name="z29" w:id="21"/>
    <w:p>
      <w:pPr>
        <w:spacing w:after="0"/>
        <w:ind w:left="0"/>
        <w:jc w:val="both"/>
      </w:pPr>
      <w:r>
        <w:rPr>
          <w:rFonts w:ascii="Times New Roman"/>
          <w:b w:val="false"/>
          <w:i w:val="false"/>
          <w:color w:val="000000"/>
          <w:sz w:val="28"/>
        </w:rPr>
        <w:t>
      В случае отсутствия государственных обязательств по проекту государственно-частного партнерства регистрация договора государственно-частного партнерства осуществляется без решения соответствующей бюджетной комиссии при предоставлении подтверждающего письма центрального уполномоченного органа по бюджетной политике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государственно-частного партнерства.";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2" w:id="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713 "Об утверждении Правил приема объектов государственно-частного партнерства в государственную собственность" (зарегистрирован в Реестре государственной регистрации нормативных правовых актов за № 12487) следующие изменения:</w:t>
      </w:r>
    </w:p>
    <w:bookmarkEnd w:id="22"/>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объектов государственно-частного партнерства в государственную собственность,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"9. Частный партнер в течение тридцати рабочих дней с момента наступления срока передачи объекта ГЧП в государственную собственность в соответствии с условиями договора ГЧП, обращается в уполномоченный государственный орган соответствующей отрасли – в отношении объектов ГЧП, относящихся к республиканской собственности или местные исполнительные органы областей (городов республиканского значения, столицы) – в отношении объектов ГЧП, относящихся к коммунальной собственности, с заявлением о передаче объекта в государственную собственность.</w:t>
      </w:r>
    </w:p>
    <w:bookmarkEnd w:id="24"/>
    <w:bookmarkStart w:name="z36" w:id="25"/>
    <w:p>
      <w:pPr>
        <w:spacing w:after="0"/>
        <w:ind w:left="0"/>
        <w:jc w:val="both"/>
      </w:pPr>
      <w:r>
        <w:rPr>
          <w:rFonts w:ascii="Times New Roman"/>
          <w:b w:val="false"/>
          <w:i w:val="false"/>
          <w:color w:val="000000"/>
          <w:sz w:val="28"/>
        </w:rPr>
        <w:t xml:space="preserve">
      Если иное не установлено договором ГЧП моментом наступления срока передачи объекта ГЧП в государственную собственность является дата утверждения акта приемки объекта в эксплуатацию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Закона Республики Казахстан "Об архитектурной, градостроительной и строительной деятельности в Республике Казахстан".</w:t>
      </w:r>
    </w:p>
    <w:bookmarkEnd w:id="25"/>
    <w:bookmarkStart w:name="z37" w:id="26"/>
    <w:p>
      <w:pPr>
        <w:spacing w:after="0"/>
        <w:ind w:left="0"/>
        <w:jc w:val="both"/>
      </w:pPr>
      <w:r>
        <w:rPr>
          <w:rFonts w:ascii="Times New Roman"/>
          <w:b w:val="false"/>
          <w:i w:val="false"/>
          <w:color w:val="000000"/>
          <w:sz w:val="28"/>
        </w:rPr>
        <w:t>
      Частный партнер вместе с заявлением представляет документы, согласно Перечню документов, представляемых частным партнером при приеме объектов государственно-частного партнерства в государственную собственность согласно приложению к настоящим Правилам в уполномоченный государственный орган соответствующей отрасли или местные исполнительные органы областей (городов республиканского значения, столицы) для передачи объектов ГЧП в государственную собственность.</w:t>
      </w:r>
    </w:p>
    <w:bookmarkEnd w:id="26"/>
    <w:bookmarkStart w:name="z38" w:id="27"/>
    <w:p>
      <w:pPr>
        <w:spacing w:after="0"/>
        <w:ind w:left="0"/>
        <w:jc w:val="both"/>
      </w:pPr>
      <w:r>
        <w:rPr>
          <w:rFonts w:ascii="Times New Roman"/>
          <w:b w:val="false"/>
          <w:i w:val="false"/>
          <w:color w:val="000000"/>
          <w:sz w:val="28"/>
        </w:rPr>
        <w:t>
      Частный партнер обеспечивает передачу объекта ГЧП государственному партнеру в надлежащем техническом состоянии, соответствующем требованиям договора ГЧП.";</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приема объектов государственно-частного партнерства в государственную собственность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0" w:id="28"/>
    <w:p>
      <w:pPr>
        <w:spacing w:after="0"/>
        <w:ind w:left="0"/>
        <w:jc w:val="both"/>
      </w:pPr>
      <w:r>
        <w:rPr>
          <w:rFonts w:ascii="Times New Roman"/>
          <w:b w:val="false"/>
          <w:i w:val="false"/>
          <w:color w:val="000000"/>
          <w:sz w:val="28"/>
        </w:rPr>
        <w:t>
      3.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8"/>
    <w:bookmarkStart w:name="z41" w:id="2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29"/>
    <w:bookmarkStart w:name="z42" w:id="3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44"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2026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конкурса (аукциона) и прямых</w:t>
            </w:r>
            <w:r>
              <w:br/>
            </w:r>
            <w:r>
              <w:rPr>
                <w:rFonts w:ascii="Times New Roman"/>
                <w:b w:val="false"/>
                <w:i w:val="false"/>
                <w:color w:val="000000"/>
                <w:sz w:val="20"/>
              </w:rPr>
              <w:t>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w:t>
            </w:r>
            <w:r>
              <w:br/>
            </w:r>
            <w:r>
              <w:rPr>
                <w:rFonts w:ascii="Times New Roman"/>
                <w:b w:val="false"/>
                <w:i w:val="false"/>
                <w:color w:val="000000"/>
                <w:sz w:val="20"/>
              </w:rPr>
              <w:t>и оценки 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32"/>
    <w:p>
      <w:pPr>
        <w:spacing w:after="0"/>
        <w:ind w:left="0"/>
        <w:jc w:val="left"/>
      </w:pPr>
      <w:r>
        <w:rPr>
          <w:rFonts w:ascii="Times New Roman"/>
          <w:b/>
          <w:i w:val="false"/>
          <w:color w:val="000000"/>
        </w:rPr>
        <w:t xml:space="preserve"> Структура технико-экономического обоснования проекта государственно-частного партнерства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конкурса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организатора конкурса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в том числе масштаб проекта, мощность проекта, основные выгодополучатели от реализации проекта по схеме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сфера (отрасль)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(адрес либо требования,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планируемая общая стоимость проекта в национальной валюте и иностранной валюте (при необходимости), принятой для расчетов в рамках информационного листа проекта государственно-частного партнерства, в том числе: инвестиционные издержки; эксплуатационные издержки; прочие издержки;</w:t>
            </w:r>
          </w:p>
          <w:p>
            <w:pPr>
              <w:spacing w:after="20"/>
              <w:ind w:left="20"/>
              <w:jc w:val="both"/>
            </w:pPr>
            <w:r>
              <w:rPr>
                <w:rFonts w:ascii="Times New Roman"/>
                <w:b w:val="false"/>
                <w:i w:val="false"/>
                <w:color w:val="000000"/>
                <w:sz w:val="20"/>
              </w:rPr>
              <w:t>
2) предполагаемые источники финансирования проекта государственно-частного партнерства;</w:t>
            </w:r>
          </w:p>
          <w:p>
            <w:pPr>
              <w:spacing w:after="20"/>
              <w:ind w:left="20"/>
              <w:jc w:val="both"/>
            </w:pPr>
            <w:r>
              <w:rPr>
                <w:rFonts w:ascii="Times New Roman"/>
                <w:b w:val="false"/>
                <w:i w:val="false"/>
                <w:color w:val="000000"/>
                <w:sz w:val="20"/>
              </w:rPr>
              <w:t>
3) предполагаемые виды и размеры государственной поддержки.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цели и задачи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способ определения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способ определения частного партнера согласно </w:t>
            </w:r>
            <w:r>
              <w:rPr>
                <w:rFonts w:ascii="Times New Roman"/>
                <w:b w:val="false"/>
                <w:i w:val="false"/>
                <w:color w:val="000000"/>
                <w:sz w:val="20"/>
              </w:rPr>
              <w:t>статье 31</w:t>
            </w:r>
            <w:r>
              <w:rPr>
                <w:rFonts w:ascii="Times New Roman"/>
                <w:b w:val="false"/>
                <w:i w:val="false"/>
                <w:color w:val="000000"/>
                <w:sz w:val="20"/>
              </w:rPr>
              <w:t xml:space="preserve"> Закона Республики Казахстан "О государственно-частном партнерстве"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представителя разработчика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соответствие документам Системы государственного планирования;</w:t>
            </w:r>
          </w:p>
          <w:p>
            <w:pPr>
              <w:spacing w:after="20"/>
              <w:ind w:left="20"/>
              <w:jc w:val="both"/>
            </w:pPr>
            <w:r>
              <w:rPr>
                <w:rFonts w:ascii="Times New Roman"/>
                <w:b w:val="false"/>
                <w:i w:val="false"/>
                <w:color w:val="000000"/>
                <w:sz w:val="20"/>
              </w:rPr>
              <w:t>
2) проблема в отрасли (регионе), которую планируется решить посредством реализации проекта государственно-частного партнерства;</w:t>
            </w:r>
          </w:p>
          <w:p>
            <w:pPr>
              <w:spacing w:after="20"/>
              <w:ind w:left="20"/>
              <w:jc w:val="both"/>
            </w:pPr>
            <w:r>
              <w:rPr>
                <w:rFonts w:ascii="Times New Roman"/>
                <w:b w:val="false"/>
                <w:i w:val="false"/>
                <w:color w:val="000000"/>
                <w:sz w:val="20"/>
              </w:rPr>
              <w:t>
3) информация о наличии заинтересованности реализации проекта государственно-частного партнерства со стороны потенциальных частных партнеров.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международный и/или казахстанский положительный опыт реализации аналогичных проектов государственно-частного партнерства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объекте государственно-частного партнерства и ином имуществе, не входящем в состав объекта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правовой статус объекта государственно-частного партнерства и иного имущества, не входящего в состав объекта государственно-частного партнерства (собственность, балансодержатель, ограничения и обременения), но используемого в проекте государственно-частного партнерства;</w:t>
            </w:r>
          </w:p>
          <w:p>
            <w:pPr>
              <w:spacing w:after="20"/>
              <w:ind w:left="20"/>
              <w:jc w:val="both"/>
            </w:pPr>
            <w:r>
              <w:rPr>
                <w:rFonts w:ascii="Times New Roman"/>
                <w:b w:val="false"/>
                <w:i w:val="false"/>
                <w:color w:val="000000"/>
                <w:sz w:val="20"/>
              </w:rPr>
              <w:t>
2) объем имущественных прав каждого из участников проекта в ходе реализации проекта и по окончании его реализации.</w:t>
            </w:r>
          </w:p>
          <w:p>
            <w:pPr>
              <w:spacing w:after="20"/>
              <w:ind w:left="20"/>
              <w:jc w:val="both"/>
            </w:pPr>
            <w:r>
              <w:rPr>
                <w:rFonts w:ascii="Times New Roman"/>
                <w:b w:val="false"/>
                <w:i w:val="false"/>
                <w:color w:val="000000"/>
                <w:sz w:val="20"/>
              </w:rPr>
              <w:t>
При реконструкции, модернизации, капитальном ремонте или развитии объекта государственно-частного партнерства прилагается его ретроспектива (дата ввода в эксплуатацию объекта, проведенные работы по реконструкции, модернизации, капитальному ремонту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государственно-частного партнерства археологических и иных особо охраняемых государством объектов, приводятся сведения о состоянии данных объектов, а также о влиянии на них проекта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проекта государственно-частного партнерства к сферам естественных монополий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информация о передаваемом в государственно-частного партнерства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освидетельствовании технического состояния объектов и другие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Институциональный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информация о механизмах взаимодействия сторон, ответственности каждой стороны проекта государственно-частного партнерства, в том числе третьих лиц (с приложением схемы взаимодействия сторон) в инвестиционном и постинвестиционном периоде;</w:t>
            </w:r>
          </w:p>
          <w:p>
            <w:pPr>
              <w:spacing w:after="20"/>
              <w:ind w:left="20"/>
              <w:jc w:val="both"/>
            </w:pPr>
            <w:r>
              <w:rPr>
                <w:rFonts w:ascii="Times New Roman"/>
                <w:b w:val="false"/>
                <w:i w:val="false"/>
                <w:color w:val="000000"/>
                <w:sz w:val="20"/>
              </w:rPr>
              <w:t>
2) предполагаемые виды деятельности в рамках проекта государственно-частного партнерства, а также информация о видах деятельности, которые не планируются к передаче в государственно-частного партнерства;</w:t>
            </w:r>
          </w:p>
          <w:p>
            <w:pPr>
              <w:spacing w:after="20"/>
              <w:ind w:left="20"/>
              <w:jc w:val="both"/>
            </w:pPr>
            <w:r>
              <w:rPr>
                <w:rFonts w:ascii="Times New Roman"/>
                <w:b w:val="false"/>
                <w:i w:val="false"/>
                <w:color w:val="000000"/>
                <w:sz w:val="20"/>
              </w:rPr>
              <w:t>
3) сравнительный анализ альтернативных вариантов реализации проекта государственно-частного партнерства по институциональным решениям.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описание проблемы отрасли (сферы) экономики (региона);</w:t>
            </w:r>
          </w:p>
          <w:p>
            <w:pPr>
              <w:spacing w:after="20"/>
              <w:ind w:left="20"/>
              <w:jc w:val="both"/>
            </w:pPr>
            <w:r>
              <w:rPr>
                <w:rFonts w:ascii="Times New Roman"/>
                <w:b w:val="false"/>
                <w:i w:val="false"/>
                <w:color w:val="000000"/>
                <w:sz w:val="20"/>
              </w:rPr>
              <w:t>
2)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проекта государственно-частного партнерства;</w:t>
            </w:r>
          </w:p>
          <w:p>
            <w:pPr>
              <w:spacing w:after="20"/>
              <w:ind w:left="20"/>
              <w:jc w:val="both"/>
            </w:pPr>
            <w:r>
              <w:rPr>
                <w:rFonts w:ascii="Times New Roman"/>
                <w:b w:val="false"/>
                <w:i w:val="false"/>
                <w:color w:val="000000"/>
                <w:sz w:val="20"/>
              </w:rPr>
              <w:t>
3) анализ объемов, видов и цен на продукцию (товары/услуги), которая производится с учетом текущей ситуации в отрасли (регионе) и в результате реализации проекта государственно-частного партнерства по категориям потребителей;</w:t>
            </w:r>
          </w:p>
          <w:p>
            <w:pPr>
              <w:spacing w:after="20"/>
              <w:ind w:left="20"/>
              <w:jc w:val="both"/>
            </w:pPr>
            <w:r>
              <w:rPr>
                <w:rFonts w:ascii="Times New Roman"/>
                <w:b w:val="false"/>
                <w:i w:val="false"/>
                <w:color w:val="000000"/>
                <w:sz w:val="20"/>
              </w:rPr>
              <w:t>
4) анализ рынков сырья, материалов, оборудования, необходимых для реализации проекта государственно-частного партнерства, в том числе сравнительный анализ по производителям и поставщикам, ценам, качеству и условиям поставки продукции;</w:t>
            </w:r>
          </w:p>
          <w:p>
            <w:pPr>
              <w:spacing w:after="20"/>
              <w:ind w:left="20"/>
              <w:jc w:val="both"/>
            </w:pPr>
            <w:r>
              <w:rPr>
                <w:rFonts w:ascii="Times New Roman"/>
                <w:b w:val="false"/>
                <w:i w:val="false"/>
                <w:color w:val="000000"/>
                <w:sz w:val="20"/>
              </w:rPr>
              <w:t>
5)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p>
            <w:pPr>
              <w:spacing w:after="20"/>
              <w:ind w:left="20"/>
              <w:jc w:val="both"/>
            </w:pPr>
            <w:r>
              <w:rPr>
                <w:rFonts w:ascii="Times New Roman"/>
                <w:b w:val="false"/>
                <w:i w:val="false"/>
                <w:color w:val="000000"/>
                <w:sz w:val="20"/>
              </w:rPr>
              <w:t>
6) SWOT – 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проекта государственно-частного партнерства). Обязательно указываются используемые источники информации и методики проведения маркетинговых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объем инвестиций, планируемых к вложению в рамках проекта государственно-частного партнерства, в том числе: предполагаемая стоимость строительства (создания) объекта государственно-частного партнерства, подтвержденная расчетами;</w:t>
            </w:r>
          </w:p>
          <w:p>
            <w:pPr>
              <w:spacing w:after="20"/>
              <w:ind w:left="20"/>
              <w:jc w:val="both"/>
            </w:pPr>
            <w:r>
              <w:rPr>
                <w:rFonts w:ascii="Times New Roman"/>
                <w:b w:val="false"/>
                <w:i w:val="false"/>
                <w:color w:val="000000"/>
                <w:sz w:val="20"/>
              </w:rPr>
              <w:t>
2) расчет эксплуатационных издержек (производственных издержек, текущих расходов на содержание);</w:t>
            </w:r>
          </w:p>
          <w:p>
            <w:pPr>
              <w:spacing w:after="20"/>
              <w:ind w:left="20"/>
              <w:jc w:val="both"/>
            </w:pPr>
            <w:r>
              <w:rPr>
                <w:rFonts w:ascii="Times New Roman"/>
                <w:b w:val="false"/>
                <w:i w:val="false"/>
                <w:color w:val="000000"/>
                <w:sz w:val="20"/>
              </w:rPr>
              <w:t>
3) определение приемлемых параметров привлечения заемных средств для финансирования проекта;</w:t>
            </w:r>
          </w:p>
          <w:p>
            <w:pPr>
              <w:spacing w:after="20"/>
              <w:ind w:left="20"/>
              <w:jc w:val="both"/>
            </w:pPr>
            <w:r>
              <w:rPr>
                <w:rFonts w:ascii="Times New Roman"/>
                <w:b w:val="false"/>
                <w:i w:val="false"/>
                <w:color w:val="000000"/>
                <w:sz w:val="20"/>
              </w:rPr>
              <w:t>
4) предварительный расчет тарифов (цен, ставок сборов) на услуги (товары, работы)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5) информация о действующем субъекте естественных монополий за последние три года, в случае, если планируется модернизация, реконструкция или капитальный ремонт действующих объектов, включающая в себя:</w:t>
            </w:r>
          </w:p>
          <w:p>
            <w:pPr>
              <w:spacing w:after="20"/>
              <w:ind w:left="20"/>
              <w:jc w:val="both"/>
            </w:pPr>
            <w:r>
              <w:rPr>
                <w:rFonts w:ascii="Times New Roman"/>
                <w:b w:val="false"/>
                <w:i w:val="false"/>
                <w:color w:val="000000"/>
                <w:sz w:val="20"/>
              </w:rPr>
              <w:t>
информацию о плановых и фактических объемах предоставляемых регулируемых услуг (товаров, работ);</w:t>
            </w:r>
          </w:p>
          <w:p>
            <w:pPr>
              <w:spacing w:after="20"/>
              <w:ind w:left="20"/>
              <w:jc w:val="both"/>
            </w:pPr>
            <w:r>
              <w:rPr>
                <w:rFonts w:ascii="Times New Roman"/>
                <w:b w:val="false"/>
                <w:i w:val="false"/>
                <w:color w:val="000000"/>
                <w:sz w:val="20"/>
              </w:rPr>
              <w:t>
информацию о действующих тарифах и тарифных смет, разрезе видов услуг (товаров, работ);</w:t>
            </w:r>
          </w:p>
          <w:p>
            <w:pPr>
              <w:spacing w:after="20"/>
              <w:ind w:left="20"/>
              <w:jc w:val="both"/>
            </w:pPr>
            <w:r>
              <w:rPr>
                <w:rFonts w:ascii="Times New Roman"/>
                <w:b w:val="false"/>
                <w:i w:val="false"/>
                <w:color w:val="000000"/>
                <w:sz w:val="20"/>
              </w:rPr>
              <w:t>
информацию об оказываемых видах и объемах, не регулируемых услуг (товаров, работ) в случае наличия таковых; финансовую отчетность;</w:t>
            </w:r>
          </w:p>
          <w:p>
            <w:pPr>
              <w:spacing w:after="20"/>
              <w:ind w:left="20"/>
              <w:jc w:val="both"/>
            </w:pPr>
            <w:r>
              <w:rPr>
                <w:rFonts w:ascii="Times New Roman"/>
                <w:b w:val="false"/>
                <w:i w:val="false"/>
                <w:color w:val="000000"/>
                <w:sz w:val="20"/>
              </w:rPr>
              <w:t>
информацию о применяемых методах амортизации учитываемой в тарифе;</w:t>
            </w:r>
          </w:p>
          <w:p>
            <w:pPr>
              <w:spacing w:after="20"/>
              <w:ind w:left="20"/>
              <w:jc w:val="both"/>
            </w:pPr>
            <w:r>
              <w:rPr>
                <w:rFonts w:ascii="Times New Roman"/>
                <w:b w:val="false"/>
                <w:i w:val="false"/>
                <w:color w:val="000000"/>
                <w:sz w:val="20"/>
              </w:rPr>
              <w:t>
информацию о фактических условиях и размерах финансирования ранее реализованной инвестиционной программы (проекта);</w:t>
            </w:r>
          </w:p>
          <w:p>
            <w:pPr>
              <w:spacing w:after="20"/>
              <w:ind w:left="20"/>
              <w:jc w:val="both"/>
            </w:pPr>
            <w:r>
              <w:rPr>
                <w:rFonts w:ascii="Times New Roman"/>
                <w:b w:val="false"/>
                <w:i w:val="false"/>
                <w:color w:val="000000"/>
                <w:sz w:val="20"/>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p>
            <w:pPr>
              <w:spacing w:after="20"/>
              <w:ind w:left="20"/>
              <w:jc w:val="both"/>
            </w:pPr>
            <w:r>
              <w:rPr>
                <w:rFonts w:ascii="Times New Roman"/>
                <w:b w:val="false"/>
                <w:i w:val="false"/>
                <w:color w:val="000000"/>
                <w:sz w:val="20"/>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 план мероприятий по снижению нормативных и (или) ликвидация сверхнормативных потерь в случае их наличия.</w:t>
            </w:r>
          </w:p>
          <w:p>
            <w:pPr>
              <w:spacing w:after="20"/>
              <w:ind w:left="20"/>
              <w:jc w:val="both"/>
            </w:pPr>
            <w:r>
              <w:rPr>
                <w:rFonts w:ascii="Times New Roman"/>
                <w:b w:val="false"/>
                <w:i w:val="false"/>
                <w:color w:val="000000"/>
                <w:sz w:val="20"/>
              </w:rPr>
              <w:t>
6) результаты анализа необходимости и возможности предоставления мер государственной поддержки и источников возмещения затрат и получения доходов частного партнера, в том числе предполагаемые виды, объемы, сроки и условия их предоставления;</w:t>
            </w:r>
          </w:p>
          <w:p>
            <w:pPr>
              <w:spacing w:after="20"/>
              <w:ind w:left="20"/>
              <w:jc w:val="both"/>
            </w:pPr>
            <w:r>
              <w:rPr>
                <w:rFonts w:ascii="Times New Roman"/>
                <w:b w:val="false"/>
                <w:i w:val="false"/>
                <w:color w:val="000000"/>
                <w:sz w:val="20"/>
              </w:rPr>
              <w:t>
7) расчет потока денежных средств и отчет о прибылях и убытках;</w:t>
            </w:r>
          </w:p>
          <w:p>
            <w:pPr>
              <w:spacing w:after="20"/>
              <w:ind w:left="20"/>
              <w:jc w:val="both"/>
            </w:pPr>
            <w:r>
              <w:rPr>
                <w:rFonts w:ascii="Times New Roman"/>
                <w:b w:val="false"/>
                <w:i w:val="false"/>
                <w:color w:val="000000"/>
                <w:sz w:val="20"/>
              </w:rPr>
              <w:t>
8) определение эффективного срока проекта государственно-частного партнерства;</w:t>
            </w:r>
          </w:p>
          <w:p>
            <w:pPr>
              <w:spacing w:after="20"/>
              <w:ind w:left="20"/>
              <w:jc w:val="both"/>
            </w:pPr>
            <w:r>
              <w:rPr>
                <w:rFonts w:ascii="Times New Roman"/>
                <w:b w:val="false"/>
                <w:i w:val="false"/>
                <w:color w:val="000000"/>
                <w:sz w:val="20"/>
              </w:rPr>
              <w:t>
9)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w:t>
            </w:r>
          </w:p>
          <w:p>
            <w:pPr>
              <w:spacing w:after="20"/>
              <w:ind w:left="20"/>
              <w:jc w:val="both"/>
            </w:pPr>
            <w:r>
              <w:rPr>
                <w:rFonts w:ascii="Times New Roman"/>
                <w:b w:val="false"/>
                <w:i w:val="false"/>
                <w:color w:val="000000"/>
                <w:sz w:val="20"/>
              </w:rPr>
              <w:t>
10) анализ чувствительности проекта и расчет границ безубыточности;</w:t>
            </w:r>
          </w:p>
          <w:p>
            <w:pPr>
              <w:spacing w:after="20"/>
              <w:ind w:left="20"/>
              <w:jc w:val="both"/>
            </w:pPr>
            <w:r>
              <w:rPr>
                <w:rFonts w:ascii="Times New Roman"/>
                <w:b w:val="false"/>
                <w:i w:val="false"/>
                <w:color w:val="000000"/>
                <w:sz w:val="20"/>
              </w:rPr>
              <w:t>
11)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p>
            <w:pPr>
              <w:spacing w:after="20"/>
              <w:ind w:left="20"/>
              <w:jc w:val="both"/>
            </w:pPr>
            <w:r>
              <w:rPr>
                <w:rFonts w:ascii="Times New Roman"/>
                <w:b w:val="false"/>
                <w:i w:val="false"/>
                <w:color w:val="000000"/>
                <w:sz w:val="20"/>
              </w:rPr>
              <w:t>
12) сравнительный анализ альтернативных вариантов реализации проекта с приведением расчетов.</w:t>
            </w:r>
          </w:p>
          <w:p>
            <w:pPr>
              <w:spacing w:after="20"/>
              <w:ind w:left="20"/>
              <w:jc w:val="both"/>
            </w:pPr>
            <w:r>
              <w:rPr>
                <w:rFonts w:ascii="Times New Roman"/>
                <w:b w:val="false"/>
                <w:i w:val="false"/>
                <w:color w:val="000000"/>
                <w:sz w:val="20"/>
              </w:rPr>
              <w:t>
Расчет альтернативных вариантов реализации проекта производится в соответствии с Методикой отбора государственного инвестиционного проекта Правил планирования, рассмотрения, отбора, реализации, мониторинга и оценки реализации государственных инвестиционных проектов, утвержденных уполномоченным органом по бюджетной политике.</w:t>
            </w:r>
          </w:p>
          <w:p>
            <w:pPr>
              <w:spacing w:after="20"/>
              <w:ind w:left="20"/>
              <w:jc w:val="both"/>
            </w:pPr>
            <w:r>
              <w:rPr>
                <w:rFonts w:ascii="Times New Roman"/>
                <w:b w:val="false"/>
                <w:i w:val="false"/>
                <w:color w:val="000000"/>
                <w:sz w:val="20"/>
              </w:rPr>
              <w:t>
Финансово-экономические модели (далее – ФЭМ) реализации проекта государственно-частного партнерства составляется с указанием формул и принятых допущений.</w:t>
            </w:r>
          </w:p>
          <w:p>
            <w:pPr>
              <w:spacing w:after="20"/>
              <w:ind w:left="20"/>
              <w:jc w:val="both"/>
            </w:pPr>
            <w:r>
              <w:rPr>
                <w:rFonts w:ascii="Times New Roman"/>
                <w:b w:val="false"/>
                <w:i w:val="false"/>
                <w:color w:val="000000"/>
                <w:sz w:val="20"/>
              </w:rPr>
              <w:t>
Предварительные расчеты производятся в формате Microsoft Office Excel с раскрывающими формулами, и представляются на бумажном и электронном носителе.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Социально-экономический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Технико-технологический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особенностей проекта государственно-частного партнерства раздел содержит:</w:t>
            </w:r>
          </w:p>
          <w:p>
            <w:pPr>
              <w:spacing w:after="20"/>
              <w:ind w:left="20"/>
              <w:jc w:val="both"/>
            </w:pPr>
            <w:r>
              <w:rPr>
                <w:rFonts w:ascii="Times New Roman"/>
                <w:b w:val="false"/>
                <w:i w:val="false"/>
                <w:color w:val="000000"/>
                <w:sz w:val="20"/>
              </w:rPr>
              <w:t>
1) планируемые физические параметры и технические характеристики объекта, создаваемого в результате реализации проекта государственно-частного партнерства;</w:t>
            </w:r>
          </w:p>
          <w:p>
            <w:pPr>
              <w:spacing w:after="20"/>
              <w:ind w:left="20"/>
              <w:jc w:val="both"/>
            </w:pPr>
            <w:r>
              <w:rPr>
                <w:rFonts w:ascii="Times New Roman"/>
                <w:b w:val="false"/>
                <w:i w:val="false"/>
                <w:color w:val="000000"/>
                <w:sz w:val="20"/>
              </w:rPr>
              <w:t>
2) описание и сравнительный анализ альтернативных технико-технологических решений с обоснованием выбранного оптимального варианта реализации проекта;</w:t>
            </w:r>
          </w:p>
          <w:p>
            <w:pPr>
              <w:spacing w:after="20"/>
              <w:ind w:left="20"/>
              <w:jc w:val="both"/>
            </w:pPr>
            <w:r>
              <w:rPr>
                <w:rFonts w:ascii="Times New Roman"/>
                <w:b w:val="false"/>
                <w:i w:val="false"/>
                <w:color w:val="000000"/>
                <w:sz w:val="20"/>
              </w:rPr>
              <w:t>
3)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w:t>
            </w:r>
          </w:p>
          <w:p>
            <w:pPr>
              <w:spacing w:after="20"/>
              <w:ind w:left="20"/>
              <w:jc w:val="both"/>
            </w:pPr>
            <w:r>
              <w:rPr>
                <w:rFonts w:ascii="Times New Roman"/>
                <w:b w:val="false"/>
                <w:i w:val="false"/>
                <w:color w:val="000000"/>
                <w:sz w:val="20"/>
              </w:rPr>
              <w:t>
4) расчетное обоснование мощности проекта с учетом принятых технико-технологических решений;</w:t>
            </w:r>
          </w:p>
          <w:p>
            <w:pPr>
              <w:spacing w:after="20"/>
              <w:ind w:left="20"/>
              <w:jc w:val="both"/>
            </w:pPr>
            <w:r>
              <w:rPr>
                <w:rFonts w:ascii="Times New Roman"/>
                <w:b w:val="false"/>
                <w:i w:val="false"/>
                <w:color w:val="000000"/>
                <w:sz w:val="20"/>
              </w:rPr>
              <w:t>
5) оценку влияния проекта на инфраструктуру региона, где предполагается реализация проекта;</w:t>
            </w:r>
          </w:p>
          <w:p>
            <w:pPr>
              <w:spacing w:after="20"/>
              <w:ind w:left="20"/>
              <w:jc w:val="both"/>
            </w:pPr>
            <w:r>
              <w:rPr>
                <w:rFonts w:ascii="Times New Roman"/>
                <w:b w:val="false"/>
                <w:i w:val="false"/>
                <w:color w:val="000000"/>
                <w:sz w:val="20"/>
              </w:rPr>
              <w:t>
6) обоснование выбранного проектного оборудования, в том числе технологическая совместимость с уже используемым оборудованием (если такое предполагается в рамках реализации проекта), оптимальное соотношение "цена-качество", альтернативные варианты по выбору оборудования, применение инновационного оборудования, использование ноу-хау, использование проектом стандартов качества, нормативные документы, устанавливающие технические и технологические требования к проекту;</w:t>
            </w:r>
          </w:p>
          <w:p>
            <w:pPr>
              <w:spacing w:after="20"/>
              <w:ind w:left="20"/>
              <w:jc w:val="both"/>
            </w:pPr>
            <w:r>
              <w:rPr>
                <w:rFonts w:ascii="Times New Roman"/>
                <w:b w:val="false"/>
                <w:i w:val="false"/>
                <w:color w:val="000000"/>
                <w:sz w:val="20"/>
              </w:rPr>
              <w:t>
7) нормы охраны труда и техники безопасности;</w:t>
            </w:r>
          </w:p>
          <w:p>
            <w:pPr>
              <w:spacing w:after="20"/>
              <w:ind w:left="20"/>
              <w:jc w:val="both"/>
            </w:pPr>
            <w:r>
              <w:rPr>
                <w:rFonts w:ascii="Times New Roman"/>
                <w:b w:val="false"/>
                <w:i w:val="false"/>
                <w:color w:val="000000"/>
                <w:sz w:val="20"/>
              </w:rPr>
              <w:t>
8) обеспеченность реализации проекта инженерными сооружениями, с учетом имеющихся в наличии транспортных подъездов и средств, энерго-, тепло-, водоснабжения и канализации, а также обеспеченность складскими помещениями;</w:t>
            </w:r>
          </w:p>
          <w:p>
            <w:pPr>
              <w:spacing w:after="20"/>
              <w:ind w:left="20"/>
              <w:jc w:val="both"/>
            </w:pPr>
            <w:r>
              <w:rPr>
                <w:rFonts w:ascii="Times New Roman"/>
                <w:b w:val="false"/>
                <w:i w:val="false"/>
                <w:color w:val="000000"/>
                <w:sz w:val="20"/>
              </w:rPr>
              <w:t>
9) график реализации проекта, который отражает период создания объекта и его эксплуатации по годам реализации и по технологическим этапам, с графическим отображением последовательности и продолжительности мероприятий по проекту во времени (план-график);</w:t>
            </w:r>
          </w:p>
          <w:p>
            <w:pPr>
              <w:spacing w:after="20"/>
              <w:ind w:left="20"/>
              <w:jc w:val="both"/>
            </w:pPr>
            <w:r>
              <w:rPr>
                <w:rFonts w:ascii="Times New Roman"/>
                <w:b w:val="false"/>
                <w:i w:val="false"/>
                <w:color w:val="000000"/>
                <w:sz w:val="20"/>
              </w:rPr>
              <w:t>
10) оценка воздействия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Распределение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анализ распределения и оценки рисков проекта государственно-частного партнерства в соответствии с Методикой распределения и оценки рисков проектов государственно-частного партнерства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Выводы по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основные достоинства и недостатки по проекту;</w:t>
            </w:r>
          </w:p>
          <w:p>
            <w:pPr>
              <w:spacing w:after="20"/>
              <w:ind w:left="20"/>
              <w:jc w:val="both"/>
            </w:pPr>
            <w:r>
              <w:rPr>
                <w:rFonts w:ascii="Times New Roman"/>
                <w:b w:val="false"/>
                <w:i w:val="false"/>
                <w:color w:val="000000"/>
                <w:sz w:val="20"/>
              </w:rPr>
              <w:t>
2) оптимальный вариант реализации проекта;</w:t>
            </w:r>
          </w:p>
          <w:p>
            <w:pPr>
              <w:spacing w:after="20"/>
              <w:ind w:left="20"/>
              <w:jc w:val="both"/>
            </w:pPr>
            <w:r>
              <w:rPr>
                <w:rFonts w:ascii="Times New Roman"/>
                <w:b w:val="false"/>
                <w:i w:val="false"/>
                <w:color w:val="000000"/>
                <w:sz w:val="20"/>
              </w:rPr>
              <w:t>
3) критические риски по проекту и меры по их снижению.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приложения, которые включают документы, графики, диаграммы, рисунки, карты местности, подтверждающие и раскрывающие информацию, приведенную в информационном листе проекта государственно-частного партнерства, а также ФЭМ по каждому из рассматриваемых в информационном листе проекта государственно-частного партнерства вариантов реализации проекта (по источникам финансирования проекта), которые предоставляются также в электронном варианте в формате Excel со всеми раскрывающимися формулами.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2026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конкурса (аукциона) и прямых</w:t>
            </w:r>
            <w:r>
              <w:br/>
            </w:r>
            <w:r>
              <w:rPr>
                <w:rFonts w:ascii="Times New Roman"/>
                <w:b w:val="false"/>
                <w:i w:val="false"/>
                <w:color w:val="000000"/>
                <w:sz w:val="20"/>
              </w:rPr>
              <w:t>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w:t>
            </w:r>
            <w:r>
              <w:br/>
            </w:r>
            <w:r>
              <w:rPr>
                <w:rFonts w:ascii="Times New Roman"/>
                <w:b w:val="false"/>
                <w:i w:val="false"/>
                <w:color w:val="000000"/>
                <w:sz w:val="20"/>
              </w:rPr>
              <w:t>и оценки реализации проектов</w:t>
            </w:r>
            <w:r>
              <w:br/>
            </w:r>
            <w:r>
              <w:rPr>
                <w:rFonts w:ascii="Times New Roman"/>
                <w:b w:val="false"/>
                <w:i w:val="false"/>
                <w:color w:val="000000"/>
                <w:sz w:val="20"/>
              </w:rPr>
              <w:t>государственно-частного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33"/>
    <w:p>
      <w:pPr>
        <w:spacing w:after="0"/>
        <w:ind w:left="0"/>
        <w:jc w:val="left"/>
      </w:pPr>
      <w:r>
        <w:rPr>
          <w:rFonts w:ascii="Times New Roman"/>
          <w:b/>
          <w:i w:val="false"/>
          <w:color w:val="000000"/>
        </w:rPr>
        <w:t xml:space="preserve"> ПРОТОКОЛ</w:t>
      </w:r>
      <w:r>
        <w:br/>
      </w:r>
      <w:r>
        <w:rPr>
          <w:rFonts w:ascii="Times New Roman"/>
          <w:b/>
          <w:i w:val="false"/>
          <w:color w:val="000000"/>
        </w:rPr>
        <w:t>об итогах конкурса по определению частного партнера по проекту</w:t>
      </w:r>
      <w:r>
        <w:br/>
      </w:r>
      <w:r>
        <w:rPr>
          <w:rFonts w:ascii="Times New Roman"/>
          <w:b/>
          <w:i w:val="false"/>
          <w:color w:val="000000"/>
        </w:rPr>
        <w:t>государственно-частного партнерства</w:t>
      </w:r>
      <w:r>
        <w:br/>
      </w:r>
      <w:r>
        <w:rPr>
          <w:rFonts w:ascii="Times New Roman"/>
          <w:b/>
          <w:i w:val="false"/>
          <w:color w:val="000000"/>
        </w:rPr>
        <w:t>"______________________________________________"</w:t>
      </w:r>
      <w:r>
        <w:br/>
      </w:r>
      <w:r>
        <w:rPr>
          <w:rFonts w:ascii="Times New Roman"/>
          <w:b/>
          <w:i w:val="false"/>
          <w:color w:val="000000"/>
        </w:rPr>
        <w:t>от "___" _________ 20___года №__</w:t>
      </w:r>
    </w:p>
    <w:bookmarkEnd w:id="33"/>
    <w:p>
      <w:pPr>
        <w:spacing w:after="0"/>
        <w:ind w:left="0"/>
        <w:jc w:val="both"/>
      </w:pPr>
      <w:bookmarkStart w:name="z108" w:id="34"/>
      <w:r>
        <w:rPr>
          <w:rFonts w:ascii="Times New Roman"/>
          <w:b w:val="false"/>
          <w:i w:val="false"/>
          <w:color w:val="000000"/>
          <w:sz w:val="28"/>
        </w:rPr>
        <w:t>
      № (номер конкурса) дата и время</w:t>
      </w:r>
    </w:p>
    <w:bookmarkEnd w:id="34"/>
    <w:p>
      <w:pPr>
        <w:spacing w:after="0"/>
        <w:ind w:left="0"/>
        <w:jc w:val="both"/>
      </w:pPr>
      <w:r>
        <w:rPr>
          <w:rFonts w:ascii="Times New Roman"/>
          <w:b w:val="false"/>
          <w:i w:val="false"/>
          <w:color w:val="000000"/>
          <w:sz w:val="28"/>
        </w:rPr>
        <w:t>Организатор конкурса: 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 w:id="35"/>
      <w:r>
        <w:rPr>
          <w:rFonts w:ascii="Times New Roman"/>
          <w:b w:val="false"/>
          <w:i w:val="false"/>
          <w:color w:val="000000"/>
          <w:sz w:val="28"/>
        </w:rPr>
        <w:t>
      № лота (при наличии) __________________________________________</w:t>
      </w:r>
    </w:p>
    <w:bookmarkEnd w:id="35"/>
    <w:p>
      <w:pPr>
        <w:spacing w:after="0"/>
        <w:ind w:left="0"/>
        <w:jc w:val="both"/>
      </w:pPr>
      <w:r>
        <w:rPr>
          <w:rFonts w:ascii="Times New Roman"/>
          <w:b w:val="false"/>
          <w:i w:val="false"/>
          <w:color w:val="000000"/>
          <w:sz w:val="28"/>
        </w:rPr>
        <w:t>Наименование лота (при наличии) 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 (по хронологии):</w:t>
      </w:r>
    </w:p>
    <w:p>
      <w:pPr>
        <w:spacing w:after="0"/>
        <w:ind w:left="0"/>
        <w:jc w:val="both"/>
      </w:pPr>
      <w:r>
        <w:rPr>
          <w:rFonts w:ascii="Times New Roman"/>
          <w:b w:val="false"/>
          <w:i w:val="false"/>
          <w:color w:val="000000"/>
          <w:sz w:val="28"/>
        </w:rPr>
        <w:t>(количество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36"/>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рассмотрения заявок на участие в конкурсе) (количество заявок):</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37"/>
    <w:p>
      <w:pPr>
        <w:spacing w:after="0"/>
        <w:ind w:left="0"/>
        <w:jc w:val="both"/>
      </w:pPr>
      <w:r>
        <w:rPr>
          <w:rFonts w:ascii="Times New Roman"/>
          <w:b w:val="false"/>
          <w:i w:val="false"/>
          <w:color w:val="000000"/>
          <w:sz w:val="28"/>
        </w:rPr>
        <w:t>
      Результаты голосования членов конкурсной комиссии: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БИН (ИИН)/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и/или требованиям конкурсной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r>
    </w:tbl>
    <w:bookmarkStart w:name="z112" w:id="38"/>
    <w:p>
      <w:pPr>
        <w:spacing w:after="0"/>
        <w:ind w:left="0"/>
        <w:jc w:val="both"/>
      </w:pPr>
      <w:r>
        <w:rPr>
          <w:rFonts w:ascii="Times New Roman"/>
          <w:b w:val="false"/>
          <w:i w:val="false"/>
          <w:color w:val="000000"/>
          <w:sz w:val="28"/>
        </w:rPr>
        <w:t>
      Итоговый реестр отклоненных заявок на участие в конкурсе (количество заявок):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39"/>
    <w:p>
      <w:pPr>
        <w:spacing w:after="0"/>
        <w:ind w:left="0"/>
        <w:jc w:val="both"/>
      </w:pPr>
      <w:r>
        <w:rPr>
          <w:rFonts w:ascii="Times New Roman"/>
          <w:b w:val="false"/>
          <w:i w:val="false"/>
          <w:color w:val="000000"/>
          <w:sz w:val="28"/>
        </w:rPr>
        <w:t>
      Итоговый реестр допущенных заявок на участие в конкурсе (количество заявок):</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40"/>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пункту __ настоящих Правил, ко всем конкурсным заявкам на участие в конкурсе по определению частного партнера, представленным на участие в данном конкурсе: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(начиная с лучшего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государственно-частного партнерства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государственно-частного партнерства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41"/>
    <w:p>
      <w:pPr>
        <w:spacing w:after="0"/>
        <w:ind w:left="0"/>
        <w:jc w:val="both"/>
      </w:pPr>
      <w:r>
        <w:rPr>
          <w:rFonts w:ascii="Times New Roman"/>
          <w:b w:val="false"/>
          <w:i w:val="false"/>
          <w:color w:val="000000"/>
          <w:sz w:val="28"/>
        </w:rPr>
        <w:t>
      Продолжение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создания, реконструкции, модернизации и (или) эксплуатации объекта государственно-частного партнерства (месяцы,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создания, реконструкции, модернизации и (или) эксплуатации объекта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Технико-экономические показатели объекта договора государственно-частного партнерства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государственно-частного партнерства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доле внутристрановой ценности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указанному в Конкурсной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в подготовке проекта государственно-частного партнерства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42"/>
    <w:p>
      <w:pPr>
        <w:spacing w:after="0"/>
        <w:ind w:left="0"/>
        <w:jc w:val="both"/>
      </w:pPr>
      <w:r>
        <w:rPr>
          <w:rFonts w:ascii="Times New Roman"/>
          <w:b w:val="false"/>
          <w:i w:val="false"/>
          <w:color w:val="000000"/>
          <w:sz w:val="28"/>
        </w:rPr>
        <w:t>
      Перечень отклоненных потенциальных частных партнеров, в результате переговоров об условиях заключения договора о государственно-частном партнерстве: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43"/>
    <w:p>
      <w:pPr>
        <w:spacing w:after="0"/>
        <w:ind w:left="0"/>
        <w:jc w:val="both"/>
      </w:pPr>
      <w:r>
        <w:rPr>
          <w:rFonts w:ascii="Times New Roman"/>
          <w:b w:val="false"/>
          <w:i w:val="false"/>
          <w:color w:val="000000"/>
          <w:sz w:val="28"/>
        </w:rPr>
        <w:t>
      Решение конкурсной комиссии:</w:t>
      </w:r>
    </w:p>
    <w:bookmarkEnd w:id="43"/>
    <w:p>
      <w:pPr>
        <w:spacing w:after="0"/>
        <w:ind w:left="0"/>
        <w:jc w:val="both"/>
      </w:pPr>
      <w:bookmarkStart w:name="z118" w:id="44"/>
      <w:r>
        <w:rPr>
          <w:rFonts w:ascii="Times New Roman"/>
          <w:b w:val="false"/>
          <w:i w:val="false"/>
          <w:color w:val="000000"/>
          <w:sz w:val="28"/>
        </w:rPr>
        <w:t>
      1. Определить победителем: (БИН/ИИН наименование потенциального</w:t>
      </w:r>
    </w:p>
    <w:bookmarkEnd w:id="44"/>
    <w:p>
      <w:pPr>
        <w:spacing w:after="0"/>
        <w:ind w:left="0"/>
        <w:jc w:val="both"/>
      </w:pPr>
      <w:r>
        <w:rPr>
          <w:rFonts w:ascii="Times New Roman"/>
          <w:b w:val="false"/>
          <w:i w:val="false"/>
          <w:color w:val="000000"/>
          <w:sz w:val="28"/>
        </w:rPr>
        <w:t>частного партнера победителя).</w:t>
      </w:r>
    </w:p>
    <w:p>
      <w:pPr>
        <w:spacing w:after="0"/>
        <w:ind w:left="0"/>
        <w:jc w:val="both"/>
      </w:pPr>
      <w:bookmarkStart w:name="z119" w:id="45"/>
      <w:r>
        <w:rPr>
          <w:rFonts w:ascii="Times New Roman"/>
          <w:b w:val="false"/>
          <w:i w:val="false"/>
          <w:color w:val="000000"/>
          <w:sz w:val="28"/>
        </w:rPr>
        <w:t>
      2. Государственному партнеру (наименование) заключить договор</w:t>
      </w:r>
    </w:p>
    <w:bookmarkEnd w:id="45"/>
    <w:p>
      <w:pPr>
        <w:spacing w:after="0"/>
        <w:ind w:left="0"/>
        <w:jc w:val="both"/>
      </w:pPr>
      <w:r>
        <w:rPr>
          <w:rFonts w:ascii="Times New Roman"/>
          <w:b w:val="false"/>
          <w:i w:val="false"/>
          <w:color w:val="000000"/>
          <w:sz w:val="28"/>
        </w:rPr>
        <w:t>о государственно-частном партнерстве с (БИН/ИИН, наименование</w:t>
      </w:r>
    </w:p>
    <w:p>
      <w:pPr>
        <w:spacing w:after="0"/>
        <w:ind w:left="0"/>
        <w:jc w:val="both"/>
      </w:pPr>
      <w:r>
        <w:rPr>
          <w:rFonts w:ascii="Times New Roman"/>
          <w:b w:val="false"/>
          <w:i w:val="false"/>
          <w:color w:val="000000"/>
          <w:sz w:val="28"/>
        </w:rPr>
        <w:t>потенциального частного партнера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конкурс (наименование проекта) несостоявшимся в связи с __________ *:</w:t>
      </w:r>
    </w:p>
    <w:bookmarkStart w:name="z120" w:id="46"/>
    <w:p>
      <w:pPr>
        <w:spacing w:after="0"/>
        <w:ind w:left="0"/>
        <w:jc w:val="both"/>
      </w:pPr>
      <w:r>
        <w:rPr>
          <w:rFonts w:ascii="Times New Roman"/>
          <w:b w:val="false"/>
          <w:i w:val="false"/>
          <w:color w:val="000000"/>
          <w:sz w:val="28"/>
        </w:rPr>
        <w:t>
      Решение конкурсной комиссии:</w:t>
      </w:r>
    </w:p>
    <w:bookmarkEnd w:id="46"/>
    <w:p>
      <w:pPr>
        <w:spacing w:after="0"/>
        <w:ind w:left="0"/>
        <w:jc w:val="both"/>
      </w:pPr>
      <w:bookmarkStart w:name="z121" w:id="47"/>
      <w:r>
        <w:rPr>
          <w:rFonts w:ascii="Times New Roman"/>
          <w:b w:val="false"/>
          <w:i w:val="false"/>
          <w:color w:val="000000"/>
          <w:sz w:val="28"/>
        </w:rPr>
        <w:t>
      1. Определить победителем по лоту №___: (БИН/ИИН наименование</w:t>
      </w:r>
    </w:p>
    <w:bookmarkEnd w:id="47"/>
    <w:p>
      <w:pPr>
        <w:spacing w:after="0"/>
        <w:ind w:left="0"/>
        <w:jc w:val="both"/>
      </w:pPr>
      <w:r>
        <w:rPr>
          <w:rFonts w:ascii="Times New Roman"/>
          <w:b w:val="false"/>
          <w:i w:val="false"/>
          <w:color w:val="000000"/>
          <w:sz w:val="28"/>
        </w:rPr>
        <w:t>потенциального частного партнера победителя).</w:t>
      </w:r>
    </w:p>
    <w:p>
      <w:pPr>
        <w:spacing w:after="0"/>
        <w:ind w:left="0"/>
        <w:jc w:val="both"/>
      </w:pPr>
      <w:bookmarkStart w:name="z122" w:id="48"/>
      <w:r>
        <w:rPr>
          <w:rFonts w:ascii="Times New Roman"/>
          <w:b w:val="false"/>
          <w:i w:val="false"/>
          <w:color w:val="000000"/>
          <w:sz w:val="28"/>
        </w:rPr>
        <w:t>
      2. Государственному партнеру (наименование) заключить договор</w:t>
      </w:r>
    </w:p>
    <w:bookmarkEnd w:id="48"/>
    <w:p>
      <w:pPr>
        <w:spacing w:after="0"/>
        <w:ind w:left="0"/>
        <w:jc w:val="both"/>
      </w:pPr>
      <w:r>
        <w:rPr>
          <w:rFonts w:ascii="Times New Roman"/>
          <w:b w:val="false"/>
          <w:i w:val="false"/>
          <w:color w:val="000000"/>
          <w:sz w:val="28"/>
        </w:rPr>
        <w:t>о государственно-частном партнерстве с (БИН/ИИН наименование</w:t>
      </w:r>
    </w:p>
    <w:p>
      <w:pPr>
        <w:spacing w:after="0"/>
        <w:ind w:left="0"/>
        <w:jc w:val="both"/>
      </w:pPr>
      <w:r>
        <w:rPr>
          <w:rFonts w:ascii="Times New Roman"/>
          <w:b w:val="false"/>
          <w:i w:val="false"/>
          <w:color w:val="000000"/>
          <w:sz w:val="28"/>
        </w:rPr>
        <w:t>потенциального частного партнера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конкурс (наименование проекта) по лоту №___ несостоявшимся в связи</w:t>
      </w:r>
    </w:p>
    <w:p>
      <w:pPr>
        <w:spacing w:after="0"/>
        <w:ind w:left="0"/>
        <w:jc w:val="both"/>
      </w:pPr>
      <w:r>
        <w:rPr>
          <w:rFonts w:ascii="Times New Roman"/>
          <w:b w:val="false"/>
          <w:i w:val="false"/>
          <w:color w:val="000000"/>
          <w:sz w:val="28"/>
        </w:rPr>
        <w:t>с _____________________ *:</w:t>
      </w:r>
    </w:p>
    <w:p>
      <w:pPr>
        <w:spacing w:after="0"/>
        <w:ind w:left="0"/>
        <w:jc w:val="both"/>
      </w:pPr>
      <w:bookmarkStart w:name="z123" w:id="49"/>
      <w:r>
        <w:rPr>
          <w:rFonts w:ascii="Times New Roman"/>
          <w:b w:val="false"/>
          <w:i w:val="false"/>
          <w:color w:val="000000"/>
          <w:sz w:val="28"/>
        </w:rPr>
        <w:t>
      Примечание:</w:t>
      </w:r>
    </w:p>
    <w:bookmarkEnd w:id="49"/>
    <w:p>
      <w:pPr>
        <w:spacing w:after="0"/>
        <w:ind w:left="0"/>
        <w:jc w:val="both"/>
      </w:pPr>
      <w:r>
        <w:rPr>
          <w:rFonts w:ascii="Times New Roman"/>
          <w:b w:val="false"/>
          <w:i w:val="false"/>
          <w:color w:val="000000"/>
          <w:sz w:val="28"/>
        </w:rPr>
        <w:t>*Одно из следующих значений: "отсутствие представленных заявок", "представление</w:t>
      </w:r>
    </w:p>
    <w:p>
      <w:pPr>
        <w:spacing w:after="0"/>
        <w:ind w:left="0"/>
        <w:jc w:val="both"/>
      </w:pPr>
      <w:r>
        <w:rPr>
          <w:rFonts w:ascii="Times New Roman"/>
          <w:b w:val="false"/>
          <w:i w:val="false"/>
          <w:color w:val="000000"/>
          <w:sz w:val="28"/>
        </w:rPr>
        <w:t>менее двух заявок", "к участию в конкурсе не допущен ни один потенциальный</w:t>
      </w:r>
    </w:p>
    <w:p>
      <w:pPr>
        <w:spacing w:after="0"/>
        <w:ind w:left="0"/>
        <w:jc w:val="both"/>
      </w:pPr>
      <w:r>
        <w:rPr>
          <w:rFonts w:ascii="Times New Roman"/>
          <w:b w:val="false"/>
          <w:i w:val="false"/>
          <w:color w:val="000000"/>
          <w:sz w:val="28"/>
        </w:rPr>
        <w:t>поставщик", "к участию в конкурсе допущен один потенциальный поставщик".</w:t>
      </w:r>
    </w:p>
    <w:p>
      <w:pPr>
        <w:spacing w:after="0"/>
        <w:ind w:left="0"/>
        <w:jc w:val="both"/>
      </w:pPr>
      <w:bookmarkStart w:name="z124" w:id="50"/>
      <w:r>
        <w:rPr>
          <w:rFonts w:ascii="Times New Roman"/>
          <w:b w:val="false"/>
          <w:i w:val="false"/>
          <w:color w:val="000000"/>
          <w:sz w:val="28"/>
        </w:rPr>
        <w:t>
      Примечание:</w:t>
      </w:r>
    </w:p>
    <w:bookmarkEnd w:id="5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2026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приема объектов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 государственную собственность</w:t>
            </w:r>
          </w:p>
        </w:tc>
      </w:tr>
    </w:tbl>
    <w:bookmarkStart w:name="z127" w:id="51"/>
    <w:p>
      <w:pPr>
        <w:spacing w:after="0"/>
        <w:ind w:left="0"/>
        <w:jc w:val="left"/>
      </w:pPr>
      <w:r>
        <w:rPr>
          <w:rFonts w:ascii="Times New Roman"/>
          <w:b/>
          <w:i w:val="false"/>
          <w:color w:val="000000"/>
        </w:rPr>
        <w:t xml:space="preserve"> Перечень документов, представляемых частным партнером при приеме объектов</w:t>
      </w:r>
      <w:r>
        <w:br/>
      </w:r>
      <w:r>
        <w:rPr>
          <w:rFonts w:ascii="Times New Roman"/>
          <w:b/>
          <w:i w:val="false"/>
          <w:color w:val="000000"/>
        </w:rPr>
        <w:t>государственно-частного партнерства в государственную собственность</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балансовую стоимость объекта ГЧП, подлежащего приему в государственную собственность, подписанный первым руководителем и главным бухгалтером частного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состоянии объекта ГЧП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