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b0c5" w14:textId="0f8b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Шемонаихинского района от 26 января 2022 года № 15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Шемонаихинского района"</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11 марта 2025 года № 77. Зарегистрировано Департаментом юстиции Восточно-Казахстанской области 13 марта 2025 года № 9147-16</w:t>
      </w:r>
    </w:p>
    <w:p>
      <w:pPr>
        <w:spacing w:after="0"/>
        <w:ind w:left="0"/>
        <w:jc w:val="both"/>
      </w:pPr>
      <w:bookmarkStart w:name="z5" w:id="0"/>
      <w:r>
        <w:rPr>
          <w:rFonts w:ascii="Times New Roman"/>
          <w:b w:val="false"/>
          <w:i w:val="false"/>
          <w:color w:val="000000"/>
          <w:sz w:val="28"/>
        </w:rPr>
        <w:t>
      Акимат Шемонаихинского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Шемонаихинского района от 26 января 2022 года №15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Шемонаихинского района" (зарегистрировано в Реестре государственной регистрации нормативных правовых актов за № 26725)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Шемонаихинскому району";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Шемонаихинскому району";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Шемонаихинского района,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Шемонаихинского района.</w:t>
      </w:r>
    </w:p>
    <w:bookmarkEnd w:id="2"/>
    <w:bookmarkStart w:name="z13"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Кенесбаев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от 11 марта 2025 года </w:t>
            </w:r>
            <w:r>
              <w:br/>
            </w:r>
            <w:r>
              <w:rPr>
                <w:rFonts w:ascii="Times New Roman"/>
                <w:b w:val="false"/>
                <w:i w:val="false"/>
                <w:color w:val="000000"/>
                <w:sz w:val="20"/>
              </w:rPr>
              <w:t>№ 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акимата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от 26 января 2022 года № 15</w:t>
            </w:r>
          </w:p>
        </w:tc>
      </w:tr>
    </w:tbl>
    <w:bookmarkStart w:name="z17"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Шемонаихинского района"</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Шемонаихинского района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Шемонаихинского района.</w:t>
      </w:r>
    </w:p>
    <w:bookmarkStart w:name="z19" w:id="5"/>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5"/>
    <w:bookmarkStart w:name="z20"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2" w:id="7"/>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7"/>
    <w:bookmarkStart w:name="z23" w:id="8"/>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5" w:id="9"/>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9"/>
    <w:bookmarkStart w:name="z26" w:id="10"/>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8" w:id="1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1"/>
    <w:bookmarkStart w:name="z29" w:id="12"/>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2"/>
    <w:bookmarkStart w:name="z30" w:id="13"/>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3"/>
    <w:bookmarkStart w:name="z31" w:id="14"/>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Шемонаихинского района" (далее - Отдел) определяет перечень многоквартирных жилых домов, требующих проведения мероприятий по реконструкции, текущему или капитальному ремонту наружных стен, кровли для придания району единого архитектурного облика.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Шемонаихинского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Start w:name="z33" w:id="15"/>
    <w:p>
      <w:pPr>
        <w:spacing w:after="0"/>
        <w:ind w:left="0"/>
        <w:jc w:val="both"/>
      </w:pPr>
      <w:r>
        <w:rPr>
          <w:rFonts w:ascii="Times New Roman"/>
          <w:b w:val="false"/>
          <w:i w:val="false"/>
          <w:color w:val="000000"/>
          <w:sz w:val="28"/>
        </w:rPr>
        <w:t>
      5. Отдел организует следующие мероприятия:</w:t>
      </w:r>
    </w:p>
    <w:bookmarkEnd w:id="15"/>
    <w:bookmarkStart w:name="z34" w:id="16"/>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16"/>
    <w:bookmarkStart w:name="z35" w:id="17"/>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7"/>
    <w:bookmarkStart w:name="z36" w:id="18"/>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18"/>
    <w:bookmarkStart w:name="z37" w:id="19"/>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19"/>
    <w:bookmarkStart w:name="z38" w:id="20"/>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0"/>
    <w:bookmarkStart w:name="z39" w:id="21"/>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1"/>
    <w:bookmarkStart w:name="z40" w:id="22"/>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2"/>
    <w:p>
      <w:pPr>
        <w:spacing w:after="0"/>
        <w:ind w:left="0"/>
        <w:jc w:val="left"/>
      </w:pP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2" w:id="23"/>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района, с последующим получением заключения экспертизы за счет средств местного бюджета.</w:t>
      </w:r>
    </w:p>
    <w:bookmarkEnd w:id="23"/>
    <w:bookmarkStart w:name="z43" w:id="24"/>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5" w:id="25"/>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5"/>
    <w:bookmarkStart w:name="z46" w:id="26"/>
    <w:p>
      <w:pPr>
        <w:spacing w:after="0"/>
        <w:ind w:left="0"/>
        <w:jc w:val="left"/>
      </w:pPr>
      <w:r>
        <w:rPr>
          <w:rFonts w:ascii="Times New Roman"/>
          <w:b/>
          <w:i w:val="false"/>
          <w:color w:val="000000"/>
        </w:rPr>
        <w:t xml:space="preserve"> Глава 4. Заключительные положения</w:t>
      </w:r>
    </w:p>
    <w:bookmarkEnd w:id="26"/>
    <w:bookmarkStart w:name="z47" w:id="27"/>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Шемонаихинского района осуществляется из средств местного бюджета.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