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dc597" w14:textId="93dc5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перечня категорий получателей жилищных сертификатов по Курчумскому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Курчумского районного маслихата Восточно-Казахстанской области от 27 марта 2025 года № 35/6-VIII. Зарегистрировано Департаментом юстиции Восточно-Казахстанской области 31 марта 2025 года № 9163-16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14-1 Закона Республики Казахстан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пунктом 2-9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от 20 июня 2019 года № 417 "Об утверждении правил предоставления жилищных сертификатов" (зарегистрировано в Реестре государственной регистрации нормативных правовых актов за № 18883), Курчумский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размер жилищных сертификатов по Курчумскому району: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10% от суммы займа, но не более 1 000 000 (один миллион) тенге в виде социальной помощи;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10% от суммы займа, но не более 1 000 000 (один миллион) тенге в виде социальной поддержки.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Определить перечень категорий получателей жилищных сертификатов по Курчумскому району: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ветераны Великой Отечественной войны;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ветераны, приравненные по льготам к ветеранам Великой Отечественной войны;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ветераны боевых действий на территории других государств;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 с инвалидностью первой и второй групп;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семьи, имеющие или воспитывающие детей с инвалидностью;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страдающие тяжелыми формами некоторых хронических заболеваний, перечисленных в списке заболеваний, утверждаемом уполномоченным органом в области здравоохранения;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пенсионеры по возрасту;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дети-сироты и дети, оставшиеся без попечения родителей, не достигшие двадцати девяти лет, потерявшие родителей до совершеннолетия. При призыве таких лиц на воинскую службу возраст продлевается на срок прохождения срочной воинской службы;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кандасы;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лишившиеся жилища в результате экологических бедствий, чрезвычайных ситуаций природного и техногенного характера;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многодетные матери, награжденные подвесками "Алтын алқа", "Күміс алқа" или получившие ранее звание "Мать-героиня", а также награжденные орденами "Материнская слава" I и II степени, многодетные семьи;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семьи лиц, погибших (умерших) при исполнении государственных или общественных обязанностей, воинской службы, при подготовке или осуществлении полета в космическое пространство, при спасении человеческой жизни, при охране правопорядка;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неполные семьи;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вдовы (вдовцы), имеющие на иждивении несовершеннолетних детей и детей, обучающихся по общеобразовательным или профессиональным программам в организациях общего среднего, технического и профессионального, послесреднего образования, высшего, послевузовского образования по очной форме обучения, но не более чем до достижения двадцатитрехлетнего возраста;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Бахтияров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