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bbfa" w14:textId="9f6b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Созакского района от 28 ноября 2022 года № 344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Созакскому району"</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5 мая 2025 года № 151. Зарегистрировано в Департаменте юстиции Туркестанской области 6 мая 2025 года № 6702-13</w:t>
      </w:r>
    </w:p>
    <w:p>
      <w:pPr>
        <w:spacing w:after="0"/>
        <w:ind w:left="0"/>
        <w:jc w:val="both"/>
      </w:pPr>
      <w:bookmarkStart w:name="z1" w:id="0"/>
      <w:r>
        <w:rPr>
          <w:rFonts w:ascii="Times New Roman"/>
          <w:b w:val="false"/>
          <w:i w:val="false"/>
          <w:color w:val="000000"/>
          <w:sz w:val="28"/>
        </w:rPr>
        <w:t>
      Акимат Созакского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Созакского района от 28 ноября 2022 года № 344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Созакскому району" (зарегистрировано в Реестре государственной регистрации нормативных правовых актов за № 30933)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Созакского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Созакского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 Созакского района</w:t>
            </w:r>
            <w:r>
              <w:br/>
            </w:r>
            <w:r>
              <w:rPr>
                <w:rFonts w:ascii="Times New Roman"/>
                <w:b w:val="false"/>
                <w:i w:val="false"/>
                <w:color w:val="000000"/>
                <w:sz w:val="20"/>
              </w:rPr>
              <w:t>Туркестанской области</w:t>
            </w:r>
            <w:r>
              <w:br/>
            </w:r>
            <w:r>
              <w:rPr>
                <w:rFonts w:ascii="Times New Roman"/>
                <w:b w:val="false"/>
                <w:i w:val="false"/>
                <w:color w:val="000000"/>
                <w:sz w:val="20"/>
              </w:rPr>
              <w:t>от 5 мая 2025 года № 151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Созакского района от</w:t>
            </w:r>
            <w:r>
              <w:br/>
            </w:r>
            <w:r>
              <w:rPr>
                <w:rFonts w:ascii="Times New Roman"/>
                <w:b w:val="false"/>
                <w:i w:val="false"/>
                <w:color w:val="000000"/>
                <w:sz w:val="20"/>
              </w:rPr>
              <w:t>28 ноября 2022 года №344</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Созакскому району</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Созакского району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Созакскому району.</w:t>
      </w:r>
    </w:p>
    <w:bookmarkEnd w:id="6"/>
    <w:bookmarkStart w:name="z12"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Start w:name="z13" w:id="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8"/>
    <w:bookmarkStart w:name="z14"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акимата Созакского района"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Созакскому району единого архитектурного облика.</w:t>
      </w:r>
    </w:p>
    <w:bookmarkEnd w:id="9"/>
    <w:bookmarkStart w:name="z15" w:id="10"/>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акимата Созакского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0"/>
    <w:bookmarkStart w:name="z16" w:id="11"/>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автомобильных дорог акимата Созакского района"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парковочных мест, кладовок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парковочных мест, кладовок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парковочных мест, складов (при их наличии) для принятия решения о согласии или несогласии с проведением работ по реконструкции, ремонту наружных стен, кровли многоквартирного жилого дома.</w:t>
      </w:r>
    </w:p>
    <w:bookmarkStart w:name="z17" w:id="12"/>
    <w:p>
      <w:pPr>
        <w:spacing w:after="0"/>
        <w:ind w:left="0"/>
        <w:jc w:val="both"/>
      </w:pPr>
      <w:r>
        <w:rPr>
          <w:rFonts w:ascii="Times New Roman"/>
          <w:b w:val="false"/>
          <w:i w:val="false"/>
          <w:color w:val="000000"/>
          <w:sz w:val="28"/>
        </w:rPr>
        <w:t>
      6. Собрание правомочно принимает решение при наличии более двух третей от общего числа собственников квартир, нежилых помещений.</w:t>
      </w:r>
    </w:p>
    <w:bookmarkEnd w:id="12"/>
    <w:bookmarkStart w:name="z18"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3"/>
    <w:bookmarkStart w:name="z19" w:id="14"/>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 </w:t>
      </w:r>
    </w:p>
    <w:bookmarkEnd w:id="14"/>
    <w:bookmarkStart w:name="z20" w:id="15"/>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21" w:id="16"/>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(реконстуркция, текущий или капитальный) осуществляется в соответствии с законодательством о государственных закупках.</w:t>
      </w:r>
    </w:p>
    <w:bookmarkEnd w:id="16"/>
    <w:bookmarkStart w:name="z22" w:id="17"/>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3"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4" w:id="19"/>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5" w:id="20"/>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6" w:id="21"/>
    <w:p>
      <w:pPr>
        <w:spacing w:after="0"/>
        <w:ind w:left="0"/>
        <w:jc w:val="left"/>
      </w:pPr>
      <w:r>
        <w:rPr>
          <w:rFonts w:ascii="Times New Roman"/>
          <w:b/>
          <w:i w:val="false"/>
          <w:color w:val="000000"/>
        </w:rPr>
        <w:t xml:space="preserve"> Глава 4. Заключительные положения</w:t>
      </w:r>
    </w:p>
    <w:bookmarkEnd w:id="21"/>
    <w:bookmarkStart w:name="z27" w:id="22"/>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Созакскому району,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