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68cb" w14:textId="d9c6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архитектурного облика и градостроительного планирования города Туркестана</w:t>
      </w:r>
    </w:p>
    <w:p>
      <w:pPr>
        <w:spacing w:after="0"/>
        <w:ind w:left="0"/>
        <w:jc w:val="both"/>
      </w:pPr>
      <w:r>
        <w:rPr>
          <w:rFonts w:ascii="Times New Roman"/>
          <w:b w:val="false"/>
          <w:i w:val="false"/>
          <w:color w:val="000000"/>
          <w:sz w:val="28"/>
        </w:rPr>
        <w:t>Решение Туркестанского городского маслихата Туркестанской области от 18 апреля 2025 года № 29/134-VIII. Зарегистрировано в Департаменте юстиции Туркестанской области 18 апреля 2025 года № 6684-13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 Закона Республики Казахстан "Об особом статусе города Туркестана", Туркестанский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формирования архитектурного облика и градостроительного планирования города Туркестана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промышленности и</w:t>
      </w:r>
    </w:p>
    <w:p>
      <w:pPr>
        <w:spacing w:after="0"/>
        <w:ind w:left="0"/>
        <w:jc w:val="both"/>
      </w:pPr>
      <w:r>
        <w:rPr>
          <w:rFonts w:ascii="Times New Roman"/>
          <w:b w:val="false"/>
          <w:i w:val="false"/>
          <w:color w:val="000000"/>
          <w:sz w:val="28"/>
        </w:rPr>
        <w:t>строительства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Туркестанского городского маслихата</w:t>
            </w:r>
            <w:r>
              <w:br/>
            </w:r>
            <w:r>
              <w:rPr>
                <w:rFonts w:ascii="Times New Roman"/>
                <w:b w:val="false"/>
                <w:i w:val="false"/>
                <w:color w:val="000000"/>
                <w:sz w:val="20"/>
              </w:rPr>
              <w:t>от 18 апреля 2025 года №29/134-VIII</w:t>
            </w:r>
          </w:p>
        </w:tc>
      </w:tr>
    </w:tbl>
    <w:p>
      <w:pPr>
        <w:spacing w:after="0"/>
        <w:ind w:left="0"/>
        <w:jc w:val="left"/>
      </w:pPr>
      <w:r>
        <w:rPr>
          <w:rFonts w:ascii="Times New Roman"/>
          <w:b/>
          <w:i w:val="false"/>
          <w:color w:val="000000"/>
        </w:rPr>
        <w:t xml:space="preserve"> Правила формирования архитектурного облика и градостроительного планирования города Туркестана Глава 1. Общие положения</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"Об архитектурной, градостроительной и строительной деятельности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Республики Казахстан "Об особом статусе города Туркестана" и определяют порядок формирования архитектурного облика и градостроительного планирования города Туркестан с учетом исторических, ландшафтно-природных, функциональных, местных особенностей (далее – Правила).</w:t>
      </w:r>
    </w:p>
    <w:p>
      <w:pPr>
        <w:spacing w:after="0"/>
        <w:ind w:left="0"/>
        <w:jc w:val="both"/>
      </w:pPr>
      <w:r>
        <w:rPr>
          <w:rFonts w:ascii="Times New Roman"/>
          <w:b w:val="false"/>
          <w:i w:val="false"/>
          <w:color w:val="000000"/>
          <w:sz w:val="28"/>
        </w:rPr>
        <w:t>
      2. В настоящих Правилах используются следующие понятия:</w:t>
      </w:r>
    </w:p>
    <w:p>
      <w:pPr>
        <w:spacing w:after="0"/>
        <w:ind w:left="0"/>
        <w:jc w:val="both"/>
      </w:pPr>
      <w:r>
        <w:rPr>
          <w:rFonts w:ascii="Times New Roman"/>
          <w:b w:val="false"/>
          <w:i w:val="false"/>
          <w:color w:val="000000"/>
          <w:sz w:val="28"/>
        </w:rPr>
        <w:t>
      1) индивидуальное жилищное строительство - постройка индивидуальных жилых домов гражданами, на закрепленном за ними в установленном порядке земельном участке, их собственными силами, подрядным или другим, не запрещенным законодательством способом;</w:t>
      </w:r>
    </w:p>
    <w:p>
      <w:pPr>
        <w:spacing w:after="0"/>
        <w:ind w:left="0"/>
        <w:jc w:val="both"/>
      </w:pPr>
      <w:r>
        <w:rPr>
          <w:rFonts w:ascii="Times New Roman"/>
          <w:b w:val="false"/>
          <w:i w:val="false"/>
          <w:color w:val="000000"/>
          <w:sz w:val="28"/>
        </w:rPr>
        <w:t>
      2) переоборудование - изменение помещения (помещений), связанное с изменением его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и эксплуатации;</w:t>
      </w:r>
    </w:p>
    <w:p>
      <w:pPr>
        <w:spacing w:after="0"/>
        <w:ind w:left="0"/>
        <w:jc w:val="both"/>
      </w:pPr>
      <w:r>
        <w:rPr>
          <w:rFonts w:ascii="Times New Roman"/>
          <w:b w:val="false"/>
          <w:i w:val="false"/>
          <w:color w:val="000000"/>
          <w:sz w:val="28"/>
        </w:rPr>
        <w:t>
      3) перепланировка - изменение планировки помещения (помещений), сопряженное с изменением границ этого помещения (этих помещений);</w:t>
      </w:r>
    </w:p>
    <w:p>
      <w:pPr>
        <w:spacing w:after="0"/>
        <w:ind w:left="0"/>
        <w:jc w:val="both"/>
      </w:pPr>
      <w:r>
        <w:rPr>
          <w:rFonts w:ascii="Times New Roman"/>
          <w:b w:val="false"/>
          <w:i w:val="false"/>
          <w:color w:val="000000"/>
          <w:sz w:val="28"/>
        </w:rPr>
        <w:t>
      4)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p>
      <w:pPr>
        <w:spacing w:after="0"/>
        <w:ind w:left="0"/>
        <w:jc w:val="both"/>
      </w:pPr>
      <w:r>
        <w:rPr>
          <w:rFonts w:ascii="Times New Roman"/>
          <w:b w:val="false"/>
          <w:i w:val="false"/>
          <w:color w:val="000000"/>
          <w:sz w:val="28"/>
        </w:rPr>
        <w:t>
      5)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p>
      <w:pPr>
        <w:spacing w:after="0"/>
        <w:ind w:left="0"/>
        <w:jc w:val="both"/>
      </w:pPr>
      <w:r>
        <w:rPr>
          <w:rFonts w:ascii="Times New Roman"/>
          <w:b w:val="false"/>
          <w:i w:val="false"/>
          <w:color w:val="000000"/>
          <w:sz w:val="28"/>
        </w:rPr>
        <w:t>
      6)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p>
    <w:p>
      <w:pPr>
        <w:spacing w:after="0"/>
        <w:ind w:left="0"/>
        <w:jc w:val="both"/>
      </w:pPr>
      <w:r>
        <w:rPr>
          <w:rFonts w:ascii="Times New Roman"/>
          <w:b w:val="false"/>
          <w:i w:val="false"/>
          <w:color w:val="000000"/>
          <w:sz w:val="28"/>
        </w:rPr>
        <w:t>
      7) проект –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p>
    <w:p>
      <w:pPr>
        <w:spacing w:after="0"/>
        <w:ind w:left="0"/>
        <w:jc w:val="both"/>
      </w:pPr>
      <w:r>
        <w:rPr>
          <w:rFonts w:ascii="Times New Roman"/>
          <w:b w:val="false"/>
          <w:i w:val="false"/>
          <w:color w:val="000000"/>
          <w:sz w:val="28"/>
        </w:rPr>
        <w:t>
      8) Дизайн-код - требования, направленные на формирование стилистически единого архитектурного облика населенных пунктов, комфортной и безопасной городской среды, в том числе касающиеся размещения элементов благоустройства, информационных конструкций (вывески, городская навигация), рекламных контсрукций, нестоционарных объектов (сезонные кафе, киоски) озеленения, освещения, фасадов, ограждений;</w:t>
      </w:r>
    </w:p>
    <w:p>
      <w:pPr>
        <w:spacing w:after="0"/>
        <w:ind w:left="0"/>
        <w:jc w:val="both"/>
      </w:pPr>
      <w:r>
        <w:rPr>
          <w:rFonts w:ascii="Times New Roman"/>
          <w:b w:val="false"/>
          <w:i w:val="false"/>
          <w:color w:val="000000"/>
          <w:sz w:val="28"/>
        </w:rPr>
        <w:t>
      9) Генеральный план населенного пункта - градостроительный проект комплексного планирования развития и застройки города, поселка, села либо другого поселения, устанавливающий зонирование, планировочную структуру и функциональную организацию их территории, систему транспортных и инженерных коммуникаций, озеленения и благоустройства;</w:t>
      </w:r>
    </w:p>
    <w:p>
      <w:pPr>
        <w:spacing w:after="0"/>
        <w:ind w:left="0"/>
        <w:jc w:val="both"/>
      </w:pPr>
      <w:r>
        <w:rPr>
          <w:rFonts w:ascii="Times New Roman"/>
          <w:b w:val="false"/>
          <w:i w:val="false"/>
          <w:color w:val="000000"/>
          <w:sz w:val="28"/>
        </w:rPr>
        <w:t>
      10) территория населенного пункта - пространство в пределах установленной границы (черты) городского или сельского населенного пункта;</w:t>
      </w:r>
    </w:p>
    <w:p>
      <w:pPr>
        <w:spacing w:after="0"/>
        <w:ind w:left="0"/>
        <w:jc w:val="both"/>
      </w:pPr>
      <w:r>
        <w:rPr>
          <w:rFonts w:ascii="Times New Roman"/>
          <w:b w:val="false"/>
          <w:i w:val="false"/>
          <w:color w:val="000000"/>
          <w:sz w:val="28"/>
        </w:rPr>
        <w:t>
      11) проект детальной планировки - градостроительная документация, разрабатываемая для отдельных частей и функциональных зон территорий населенных пунктов – а также территорий, расположенных за пределами населенных пунктов;</w:t>
      </w:r>
    </w:p>
    <w:p>
      <w:pPr>
        <w:spacing w:after="0"/>
        <w:ind w:left="0"/>
        <w:jc w:val="both"/>
      </w:pPr>
      <w:r>
        <w:rPr>
          <w:rFonts w:ascii="Times New Roman"/>
          <w:b w:val="false"/>
          <w:i w:val="false"/>
          <w:color w:val="000000"/>
          <w:sz w:val="28"/>
        </w:rPr>
        <w:t>
      12) градостроительные регламенты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w:t>
      </w:r>
    </w:p>
    <w:p>
      <w:pPr>
        <w:spacing w:after="0"/>
        <w:ind w:left="0"/>
        <w:jc w:val="both"/>
      </w:pPr>
      <w:r>
        <w:rPr>
          <w:rFonts w:ascii="Times New Roman"/>
          <w:b w:val="false"/>
          <w:i w:val="false"/>
          <w:color w:val="000000"/>
          <w:sz w:val="28"/>
        </w:rPr>
        <w:t>
      Градостроительные регламенты устанавливаются градостроительной и архитектурно-строительной документацией, выполненной в соответствии с государственными нормативами. Действие градостроительных регламентов ограничивается в пределах установленного для них срока;</w:t>
      </w:r>
    </w:p>
    <w:p>
      <w:pPr>
        <w:spacing w:after="0"/>
        <w:ind w:left="0"/>
        <w:jc w:val="both"/>
      </w:pPr>
      <w:r>
        <w:rPr>
          <w:rFonts w:ascii="Times New Roman"/>
          <w:b w:val="false"/>
          <w:i w:val="false"/>
          <w:color w:val="000000"/>
          <w:sz w:val="28"/>
        </w:rPr>
        <w:t xml:space="preserve">
      13) территория градостроительного регулирования – территория, в пределах которой осуществляется какая-либо архитектурная, градостроительная и строительная деятельность. </w:t>
      </w:r>
    </w:p>
    <w:p>
      <w:pPr>
        <w:spacing w:after="0"/>
        <w:ind w:left="0"/>
        <w:jc w:val="both"/>
      </w:pPr>
      <w:r>
        <w:rPr>
          <w:rFonts w:ascii="Times New Roman"/>
          <w:b w:val="false"/>
          <w:i w:val="false"/>
          <w:color w:val="000000"/>
          <w:sz w:val="28"/>
        </w:rPr>
        <w:t xml:space="preserve">
      3. Задачами настоящих Правил являются: </w:t>
      </w:r>
    </w:p>
    <w:p>
      <w:pPr>
        <w:spacing w:after="0"/>
        <w:ind w:left="0"/>
        <w:jc w:val="both"/>
      </w:pPr>
      <w:r>
        <w:rPr>
          <w:rFonts w:ascii="Times New Roman"/>
          <w:b w:val="false"/>
          <w:i w:val="false"/>
          <w:color w:val="000000"/>
          <w:sz w:val="28"/>
        </w:rPr>
        <w:t>
      1) формирование комплексного подхода и развитие качественной городской среды, соответствующей современным потребностям жителей города;</w:t>
      </w:r>
    </w:p>
    <w:p>
      <w:pPr>
        <w:spacing w:after="0"/>
        <w:ind w:left="0"/>
        <w:jc w:val="both"/>
      </w:pPr>
      <w:r>
        <w:rPr>
          <w:rFonts w:ascii="Times New Roman"/>
          <w:b w:val="false"/>
          <w:i w:val="false"/>
          <w:color w:val="000000"/>
          <w:sz w:val="28"/>
        </w:rPr>
        <w:t>
      2) обеспечение архитектурными и градостроительными инструментами процесс системного и устойчивого развития всей территории города.</w:t>
      </w:r>
    </w:p>
    <w:p>
      <w:pPr>
        <w:spacing w:after="0"/>
        <w:ind w:left="0"/>
        <w:jc w:val="left"/>
      </w:pPr>
      <w:r>
        <w:rPr>
          <w:rFonts w:ascii="Times New Roman"/>
          <w:b/>
          <w:i w:val="false"/>
          <w:color w:val="000000"/>
        </w:rPr>
        <w:t xml:space="preserve"> Глава 2. Порядок формирования архитектурного облика и градостроительного планирования</w:t>
      </w:r>
    </w:p>
    <w:p>
      <w:pPr>
        <w:spacing w:after="0"/>
        <w:ind w:left="0"/>
        <w:jc w:val="both"/>
      </w:pPr>
      <w:r>
        <w:rPr>
          <w:rFonts w:ascii="Times New Roman"/>
          <w:b w:val="false"/>
          <w:i w:val="false"/>
          <w:color w:val="000000"/>
          <w:sz w:val="28"/>
        </w:rPr>
        <w:t xml:space="preserve">
      4. При формировании архитектурного облика и градостроительного планирования города Туркестан необходимо: </w:t>
      </w:r>
    </w:p>
    <w:p>
      <w:pPr>
        <w:spacing w:after="0"/>
        <w:ind w:left="0"/>
        <w:jc w:val="both"/>
      </w:pPr>
      <w:r>
        <w:rPr>
          <w:rFonts w:ascii="Times New Roman"/>
          <w:b w:val="false"/>
          <w:i w:val="false"/>
          <w:color w:val="000000"/>
          <w:sz w:val="28"/>
        </w:rPr>
        <w:t>
      1) обеспечение комплексной безопасности территории и ее защиты от воздействия чрезвычайных ситуаций природного и техногенного характера;</w:t>
      </w:r>
    </w:p>
    <w:p>
      <w:pPr>
        <w:spacing w:after="0"/>
        <w:ind w:left="0"/>
        <w:jc w:val="both"/>
      </w:pPr>
      <w:r>
        <w:rPr>
          <w:rFonts w:ascii="Times New Roman"/>
          <w:b w:val="false"/>
          <w:i w:val="false"/>
          <w:color w:val="000000"/>
          <w:sz w:val="28"/>
        </w:rPr>
        <w:t>
      2) соблюдение нормативно-технических требований, действующих на территории Республики Казахстан, Генерального плана города, а также требований к строительству в зонах охраны и регулирования застройки города;</w:t>
      </w:r>
    </w:p>
    <w:p>
      <w:pPr>
        <w:spacing w:after="0"/>
        <w:ind w:left="0"/>
        <w:jc w:val="both"/>
      </w:pPr>
      <w:r>
        <w:rPr>
          <w:rFonts w:ascii="Times New Roman"/>
          <w:b w:val="false"/>
          <w:i w:val="false"/>
          <w:color w:val="000000"/>
          <w:sz w:val="28"/>
        </w:rPr>
        <w:t>
      3) сохранение мавзолея Ходжи Ахмеда Ясави, формируя уникальный облик города;</w:t>
      </w:r>
    </w:p>
    <w:p>
      <w:pPr>
        <w:spacing w:after="0"/>
        <w:ind w:left="0"/>
        <w:jc w:val="both"/>
      </w:pPr>
      <w:r>
        <w:rPr>
          <w:rFonts w:ascii="Times New Roman"/>
          <w:b w:val="false"/>
          <w:i w:val="false"/>
          <w:color w:val="000000"/>
          <w:sz w:val="28"/>
        </w:rPr>
        <w:t>
      4) обеспечение нормативной и естественной вентиляции, инсоляции и защиты территории города от среднего шума методами архитектуры и градостроительства;</w:t>
      </w:r>
    </w:p>
    <w:p>
      <w:pPr>
        <w:spacing w:after="0"/>
        <w:ind w:left="0"/>
        <w:jc w:val="both"/>
      </w:pPr>
      <w:r>
        <w:rPr>
          <w:rFonts w:ascii="Times New Roman"/>
          <w:b w:val="false"/>
          <w:i w:val="false"/>
          <w:color w:val="000000"/>
          <w:sz w:val="28"/>
        </w:rPr>
        <w:t>
      5) компактное размещение функциональных зон с учетом требований шаговой доступности и взаимодействие с системой общественных центров, объектами социального и повседневного обеспечения, инженерной и транспортной инфраструктуры;</w:t>
      </w:r>
    </w:p>
    <w:p>
      <w:pPr>
        <w:spacing w:after="0"/>
        <w:ind w:left="0"/>
        <w:jc w:val="both"/>
      </w:pPr>
      <w:r>
        <w:rPr>
          <w:rFonts w:ascii="Times New Roman"/>
          <w:b w:val="false"/>
          <w:i w:val="false"/>
          <w:color w:val="000000"/>
          <w:sz w:val="28"/>
        </w:rPr>
        <w:t xml:space="preserve">
      6) соблюдать градостроительный регламент на территории города. </w:t>
      </w:r>
    </w:p>
    <w:p>
      <w:pPr>
        <w:spacing w:after="0"/>
        <w:ind w:left="0"/>
        <w:jc w:val="both"/>
      </w:pPr>
      <w:r>
        <w:rPr>
          <w:rFonts w:ascii="Times New Roman"/>
          <w:b w:val="false"/>
          <w:i w:val="false"/>
          <w:color w:val="000000"/>
          <w:sz w:val="28"/>
        </w:rPr>
        <w:t>
      5. К зонам особого градостроительного регулирования города Туркестан относятся территории, установленные Генеральным планом города, в том числе территории по использованию земель, существующих объектов недвижимости на основе общественных, градостроительных, экономических, экологических, рекреационных, культурных, исторических и других факторов, влияющих на устойчивое развитие территории города.</w:t>
      </w:r>
    </w:p>
    <w:p>
      <w:pPr>
        <w:spacing w:after="0"/>
        <w:ind w:left="0"/>
        <w:jc w:val="both"/>
      </w:pPr>
      <w:r>
        <w:rPr>
          <w:rFonts w:ascii="Times New Roman"/>
          <w:b w:val="false"/>
          <w:i w:val="false"/>
          <w:color w:val="000000"/>
          <w:sz w:val="28"/>
        </w:rPr>
        <w:t xml:space="preserve">
      6. Условия к застройке в зонах особого градостроительного регулирования: </w:t>
      </w:r>
    </w:p>
    <w:p>
      <w:pPr>
        <w:spacing w:after="0"/>
        <w:ind w:left="0"/>
        <w:jc w:val="both"/>
      </w:pPr>
      <w:r>
        <w:rPr>
          <w:rFonts w:ascii="Times New Roman"/>
          <w:b w:val="false"/>
          <w:i w:val="false"/>
          <w:color w:val="000000"/>
          <w:sz w:val="28"/>
        </w:rPr>
        <w:t>
      1) особенности по плотности и коэффициенту застройки;</w:t>
      </w:r>
    </w:p>
    <w:p>
      <w:pPr>
        <w:spacing w:after="0"/>
        <w:ind w:left="0"/>
        <w:jc w:val="both"/>
      </w:pPr>
      <w:r>
        <w:rPr>
          <w:rFonts w:ascii="Times New Roman"/>
          <w:b w:val="false"/>
          <w:i w:val="false"/>
          <w:color w:val="000000"/>
          <w:sz w:val="28"/>
        </w:rPr>
        <w:t>
      2) архитектурные решения фасадов зданий и сооружений;</w:t>
      </w:r>
    </w:p>
    <w:p>
      <w:pPr>
        <w:spacing w:after="0"/>
        <w:ind w:left="0"/>
        <w:jc w:val="both"/>
      </w:pPr>
      <w:r>
        <w:rPr>
          <w:rFonts w:ascii="Times New Roman"/>
          <w:b w:val="false"/>
          <w:i w:val="false"/>
          <w:color w:val="000000"/>
          <w:sz w:val="28"/>
        </w:rPr>
        <w:t>
      3) строительство в охранной зоне памятников истории и культуры.</w:t>
      </w:r>
    </w:p>
    <w:p>
      <w:pPr>
        <w:spacing w:after="0"/>
        <w:ind w:left="0"/>
        <w:jc w:val="both"/>
      </w:pPr>
      <w:r>
        <w:rPr>
          <w:rFonts w:ascii="Times New Roman"/>
          <w:b w:val="false"/>
          <w:i w:val="false"/>
          <w:color w:val="000000"/>
          <w:sz w:val="28"/>
        </w:rPr>
        <w:t>
      7. К зонам особого градостроительного регулирования относятся следующие городские территории:</w:t>
      </w:r>
    </w:p>
    <w:p>
      <w:pPr>
        <w:spacing w:after="0"/>
        <w:ind w:left="0"/>
        <w:jc w:val="both"/>
      </w:pPr>
      <w:r>
        <w:rPr>
          <w:rFonts w:ascii="Times New Roman"/>
          <w:b w:val="false"/>
          <w:i w:val="false"/>
          <w:color w:val="000000"/>
          <w:sz w:val="28"/>
        </w:rPr>
        <w:t>
      1) зона памятников истории и культуры международного значения, имеющих особое значение для всемирной истории и культуры:</w:t>
      </w:r>
    </w:p>
    <w:p>
      <w:pPr>
        <w:spacing w:after="0"/>
        <w:ind w:left="0"/>
        <w:jc w:val="both"/>
      </w:pPr>
      <w:r>
        <w:rPr>
          <w:rFonts w:ascii="Times New Roman"/>
          <w:b w:val="false"/>
          <w:i w:val="false"/>
          <w:color w:val="000000"/>
          <w:sz w:val="28"/>
        </w:rPr>
        <w:t>
      Мавзолей Ходжи Ахмеда Ясави;</w:t>
      </w:r>
    </w:p>
    <w:p>
      <w:pPr>
        <w:spacing w:after="0"/>
        <w:ind w:left="0"/>
        <w:jc w:val="both"/>
      </w:pPr>
      <w:r>
        <w:rPr>
          <w:rFonts w:ascii="Times New Roman"/>
          <w:b w:val="false"/>
          <w:i w:val="false"/>
          <w:color w:val="000000"/>
          <w:sz w:val="28"/>
        </w:rPr>
        <w:t xml:space="preserve">
      2) территория памятников истории и культуры республиканского значения, имеющих особое значение для истории и культуры Республики Казахстан: </w:t>
      </w:r>
    </w:p>
    <w:p>
      <w:pPr>
        <w:spacing w:after="0"/>
        <w:ind w:left="0"/>
        <w:jc w:val="both"/>
      </w:pPr>
      <w:r>
        <w:rPr>
          <w:rFonts w:ascii="Times New Roman"/>
          <w:b w:val="false"/>
          <w:i w:val="false"/>
          <w:color w:val="000000"/>
          <w:sz w:val="28"/>
        </w:rPr>
        <w:t>
      Древний город Туркестан, город Культобе, подземная мечеть Кылует, подземная мечеть Аулие Кумшик ата, Шильдехана, мавзолей Тауке хана, мавзолей Рабия Султана Бегим, неизвестный Сагана, крепостная стена цитадели, восточная баня, мавзолей Есим хана, замковые ворота цитадели, мечеть Жума, мавзолей Алмас ана, мавзолей Алькожа ата, мечеть Жаудир ана - медресе, мечети-медресе Шамета Ишана, комплекс железнодорожной станции и здание штаба гарнизона;</w:t>
      </w:r>
    </w:p>
    <w:p>
      <w:pPr>
        <w:spacing w:after="0"/>
        <w:ind w:left="0"/>
        <w:jc w:val="both"/>
      </w:pPr>
      <w:r>
        <w:rPr>
          <w:rFonts w:ascii="Times New Roman"/>
          <w:b w:val="false"/>
          <w:i w:val="false"/>
          <w:color w:val="000000"/>
          <w:sz w:val="28"/>
        </w:rPr>
        <w:t xml:space="preserve">
      3) территория памятников истории и культуры местного значения, имеющих особое значение для истории и культуры города Туркестан: </w:t>
      </w:r>
    </w:p>
    <w:p>
      <w:pPr>
        <w:spacing w:after="0"/>
        <w:ind w:left="0"/>
        <w:jc w:val="both"/>
      </w:pPr>
      <w:r>
        <w:rPr>
          <w:rFonts w:ascii="Times New Roman"/>
          <w:b w:val="false"/>
          <w:i w:val="false"/>
          <w:color w:val="000000"/>
          <w:sz w:val="28"/>
        </w:rPr>
        <w:t>
      Мавзолей Бала би, здание горисполкома, детская спортивная школа, здание аптеки, казармы.</w:t>
      </w:r>
    </w:p>
    <w:p>
      <w:pPr>
        <w:spacing w:after="0"/>
        <w:ind w:left="0"/>
        <w:jc w:val="both"/>
      </w:pPr>
      <w:r>
        <w:rPr>
          <w:rFonts w:ascii="Times New Roman"/>
          <w:b w:val="false"/>
          <w:i w:val="false"/>
          <w:color w:val="000000"/>
          <w:sz w:val="28"/>
        </w:rPr>
        <w:t>
      8. В границах исторического центра, а также охранных зонах памятников истории и культуры подлежат сохранению или восстановлению все градостроительные объекты и их характеристики, культурная ценность.</w:t>
      </w:r>
    </w:p>
    <w:p>
      <w:pPr>
        <w:spacing w:after="0"/>
        <w:ind w:left="0"/>
        <w:jc w:val="both"/>
      </w:pPr>
      <w:r>
        <w:rPr>
          <w:rFonts w:ascii="Times New Roman"/>
          <w:b w:val="false"/>
          <w:i w:val="false"/>
          <w:color w:val="000000"/>
          <w:sz w:val="28"/>
        </w:rPr>
        <w:t>
      9. В пределах территории памятников, имеющих особое значение для истории и культуры города Туркестан, в установленном законом порядке допускается проведение реставрационных работ и иных работ по реставрации или сохранению памятников, а также переоборудование жилых домов и (или) их первых этажей для объектов предпринимательской деятельности без возведения пристроек, с сохранением фасадных решений и благоустройства.</w:t>
      </w:r>
    </w:p>
    <w:p>
      <w:pPr>
        <w:spacing w:after="0"/>
        <w:ind w:left="0"/>
        <w:jc w:val="both"/>
      </w:pPr>
      <w:r>
        <w:rPr>
          <w:rFonts w:ascii="Times New Roman"/>
          <w:b w:val="false"/>
          <w:i w:val="false"/>
          <w:color w:val="000000"/>
          <w:sz w:val="28"/>
        </w:rPr>
        <w:t>
      10. В границах охранных зон памятников истории и культуры не допускается нарушение структуры и стиля исторических зданий, пропорций и высотности.</w:t>
      </w:r>
    </w:p>
    <w:p>
      <w:pPr>
        <w:spacing w:after="0"/>
        <w:ind w:left="0"/>
        <w:jc w:val="both"/>
      </w:pPr>
      <w:r>
        <w:rPr>
          <w:rFonts w:ascii="Times New Roman"/>
          <w:b w:val="false"/>
          <w:i w:val="false"/>
          <w:color w:val="000000"/>
          <w:sz w:val="28"/>
        </w:rPr>
        <w:t>
      11. Не допускается превышение максимально допустимой высоты в пределах зоны памятников истории и культуры республиканского значения и зоны памятников истории и культуры местного значения, а также нарушение масштабов архитектурного решения в радиусе до 20 метров в пределах защитных зон памятников истории и культуры.</w:t>
      </w:r>
    </w:p>
    <w:p>
      <w:pPr>
        <w:spacing w:after="0"/>
        <w:ind w:left="0"/>
        <w:jc w:val="both"/>
      </w:pPr>
      <w:r>
        <w:rPr>
          <w:rFonts w:ascii="Times New Roman"/>
          <w:b w:val="false"/>
          <w:i w:val="false"/>
          <w:color w:val="000000"/>
          <w:sz w:val="28"/>
        </w:rPr>
        <w:t>
      12. Для обеспечения условий устойчивого развития территории, формирования качественной и комфортной среды на территории города применяется минимальная и максимальная плотность населения на 1 гектар, в зависимости от функционального зонирования, существующей градостроительной ситуации.</w:t>
      </w:r>
    </w:p>
    <w:p>
      <w:pPr>
        <w:spacing w:after="0"/>
        <w:ind w:left="0"/>
        <w:jc w:val="both"/>
      </w:pPr>
      <w:r>
        <w:rPr>
          <w:rFonts w:ascii="Times New Roman"/>
          <w:b w:val="false"/>
          <w:i w:val="false"/>
          <w:color w:val="000000"/>
          <w:sz w:val="28"/>
        </w:rPr>
        <w:t>
      13. Плотность населения на территории города для застройки необходимо рассчитывать в порядке с действующими государственными нормативами в области архитектуры, градостроительства и строительства, с учетом оценки стоимости земли, ресурсных возможностей инженерных и транспортных коммуникаций, наличия достаточных мест на объектах социального назначения в шаговой доступности, наличия историко-культурных и архитектурно-ландшафтных ценностей.</w:t>
      </w:r>
    </w:p>
    <w:p>
      <w:pPr>
        <w:spacing w:after="0"/>
        <w:ind w:left="0"/>
        <w:jc w:val="both"/>
      </w:pPr>
      <w:r>
        <w:rPr>
          <w:rFonts w:ascii="Times New Roman"/>
          <w:b w:val="false"/>
          <w:i w:val="false"/>
          <w:color w:val="000000"/>
          <w:sz w:val="28"/>
        </w:rPr>
        <w:t>
      14. Границы расчетной территории требуется устанавливать по красным линиям границам участков застройки, по осям межквартальных проездов, пешеходных путей, или естественным рубежам, а при их отсутствии – на расстоянии 3 метров от линии застройки.</w:t>
      </w:r>
    </w:p>
    <w:p>
      <w:pPr>
        <w:spacing w:after="0"/>
        <w:ind w:left="0"/>
        <w:jc w:val="both"/>
      </w:pPr>
      <w:r>
        <w:rPr>
          <w:rFonts w:ascii="Times New Roman"/>
          <w:b w:val="false"/>
          <w:i w:val="false"/>
          <w:color w:val="000000"/>
          <w:sz w:val="28"/>
        </w:rPr>
        <w:t>
      15. Среднюю жилищную обеспеченность, для расчета плотности, нового строительства на территории города применять не менее 18-25 квадратных метров, в зависимости от класса на одного человека жилой площади.</w:t>
      </w:r>
    </w:p>
    <w:p>
      <w:pPr>
        <w:spacing w:after="0"/>
        <w:ind w:left="0"/>
        <w:jc w:val="both"/>
      </w:pPr>
      <w:r>
        <w:rPr>
          <w:rFonts w:ascii="Times New Roman"/>
          <w:b w:val="false"/>
          <w:i w:val="false"/>
          <w:color w:val="000000"/>
          <w:sz w:val="28"/>
        </w:rPr>
        <w:t>
      Плотность допускается увеличивать на 20 процентов, при соблюдении следующих одновременных условии:</w:t>
      </w:r>
    </w:p>
    <w:p>
      <w:pPr>
        <w:spacing w:after="0"/>
        <w:ind w:left="0"/>
        <w:jc w:val="both"/>
      </w:pPr>
      <w:r>
        <w:rPr>
          <w:rFonts w:ascii="Times New Roman"/>
          <w:b w:val="false"/>
          <w:i w:val="false"/>
          <w:color w:val="000000"/>
          <w:sz w:val="28"/>
        </w:rPr>
        <w:t>
      1) наличие достаточной инженерной инфраструктуры требующиеся для строительства и устойчивого функционирования введенного впоследствии в эксплуатацию объекта;</w:t>
      </w:r>
    </w:p>
    <w:p>
      <w:pPr>
        <w:spacing w:after="0"/>
        <w:ind w:left="0"/>
        <w:jc w:val="both"/>
      </w:pPr>
      <w:r>
        <w:rPr>
          <w:rFonts w:ascii="Times New Roman"/>
          <w:b w:val="false"/>
          <w:i w:val="false"/>
          <w:color w:val="000000"/>
          <w:sz w:val="28"/>
        </w:rPr>
        <w:t>
      2) наличие транспортной доступности, подземных или многоуровневых паркингов;</w:t>
      </w:r>
    </w:p>
    <w:p>
      <w:pPr>
        <w:spacing w:after="0"/>
        <w:ind w:left="0"/>
        <w:jc w:val="both"/>
      </w:pPr>
      <w:r>
        <w:rPr>
          <w:rFonts w:ascii="Times New Roman"/>
          <w:b w:val="false"/>
          <w:i w:val="false"/>
          <w:color w:val="000000"/>
          <w:sz w:val="28"/>
        </w:rPr>
        <w:t>
      3) наличие встроенно-пристроенных детских садов и дошкольных учреждений на территории;</w:t>
      </w:r>
    </w:p>
    <w:p>
      <w:pPr>
        <w:spacing w:after="0"/>
        <w:ind w:left="0"/>
        <w:jc w:val="both"/>
      </w:pPr>
      <w:r>
        <w:rPr>
          <w:rFonts w:ascii="Times New Roman"/>
          <w:b w:val="false"/>
          <w:i w:val="false"/>
          <w:color w:val="000000"/>
          <w:sz w:val="28"/>
        </w:rPr>
        <w:t>
      4) наличие открытых зеленых зон на территориях в рамках нормативной обеспеченности в шаговой доступности и мест для сбора при землетрясении;</w:t>
      </w:r>
    </w:p>
    <w:p>
      <w:pPr>
        <w:spacing w:after="0"/>
        <w:ind w:left="0"/>
        <w:jc w:val="both"/>
      </w:pPr>
      <w:r>
        <w:rPr>
          <w:rFonts w:ascii="Times New Roman"/>
          <w:b w:val="false"/>
          <w:i w:val="false"/>
          <w:color w:val="000000"/>
          <w:sz w:val="28"/>
        </w:rPr>
        <w:t>
      5) наличие достаточного количества мест в шаговой доступности в школах начального и среднего образования;</w:t>
      </w:r>
    </w:p>
    <w:p>
      <w:pPr>
        <w:spacing w:after="0"/>
        <w:ind w:left="0"/>
        <w:jc w:val="both"/>
      </w:pPr>
      <w:r>
        <w:rPr>
          <w:rFonts w:ascii="Times New Roman"/>
          <w:b w:val="false"/>
          <w:i w:val="false"/>
          <w:color w:val="000000"/>
          <w:sz w:val="28"/>
        </w:rPr>
        <w:t>
      6) наличие объектов повседневного обслуживания в радиусе не более 500 метров;</w:t>
      </w:r>
    </w:p>
    <w:p>
      <w:pPr>
        <w:spacing w:after="0"/>
        <w:ind w:left="0"/>
        <w:jc w:val="both"/>
      </w:pPr>
      <w:r>
        <w:rPr>
          <w:rFonts w:ascii="Times New Roman"/>
          <w:b w:val="false"/>
          <w:i w:val="false"/>
          <w:color w:val="000000"/>
          <w:sz w:val="28"/>
        </w:rPr>
        <w:t>
      7) соблюдение нормативных правовых актов в области санитарно-эпидемиологического благополучия населения, нормативных актов в области гражданской защиты и нормативных технических документов;</w:t>
      </w:r>
    </w:p>
    <w:p>
      <w:pPr>
        <w:spacing w:after="0"/>
        <w:ind w:left="0"/>
        <w:jc w:val="both"/>
      </w:pPr>
      <w:r>
        <w:rPr>
          <w:rFonts w:ascii="Times New Roman"/>
          <w:b w:val="false"/>
          <w:i w:val="false"/>
          <w:color w:val="000000"/>
          <w:sz w:val="28"/>
        </w:rPr>
        <w:t>
      8) наличие придомовой территории, рассчитанной на одного жителя от 10 квадратных метров (с учетом площадей для хозяйственных и рекреационных нужд, парковочных мест, благоустройства и озеленения).</w:t>
      </w:r>
    </w:p>
    <w:p>
      <w:pPr>
        <w:spacing w:after="0"/>
        <w:ind w:left="0"/>
        <w:jc w:val="both"/>
      </w:pPr>
      <w:r>
        <w:rPr>
          <w:rFonts w:ascii="Times New Roman"/>
          <w:b w:val="false"/>
          <w:i w:val="false"/>
          <w:color w:val="000000"/>
          <w:sz w:val="28"/>
        </w:rPr>
        <w:t>
      Коэффициент плотности застройки необходимо принимать в соответствии с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16. Минимальная величина разрывов (бытовые расстояния) между длинными сторонами многоквартирных жилых зданий линейного типа:</w:t>
      </w:r>
    </w:p>
    <w:p>
      <w:pPr>
        <w:spacing w:after="0"/>
        <w:ind w:left="0"/>
        <w:jc w:val="both"/>
      </w:pPr>
      <w:r>
        <w:rPr>
          <w:rFonts w:ascii="Times New Roman"/>
          <w:b w:val="false"/>
          <w:i w:val="false"/>
          <w:color w:val="000000"/>
          <w:sz w:val="28"/>
        </w:rPr>
        <w:t>
      1) при застройке домами: 4-5 этажей не менее 20 метров;</w:t>
      </w:r>
    </w:p>
    <w:p>
      <w:pPr>
        <w:spacing w:after="0"/>
        <w:ind w:left="0"/>
        <w:jc w:val="both"/>
      </w:pPr>
      <w:r>
        <w:rPr>
          <w:rFonts w:ascii="Times New Roman"/>
          <w:b w:val="false"/>
          <w:i w:val="false"/>
          <w:color w:val="000000"/>
          <w:sz w:val="28"/>
        </w:rPr>
        <w:t>
      2) при застройке домами: 6-12 этажей не менее 30 метров;</w:t>
      </w:r>
    </w:p>
    <w:p>
      <w:pPr>
        <w:spacing w:after="0"/>
        <w:ind w:left="0"/>
        <w:jc w:val="both"/>
      </w:pPr>
      <w:r>
        <w:rPr>
          <w:rFonts w:ascii="Times New Roman"/>
          <w:b w:val="false"/>
          <w:i w:val="false"/>
          <w:color w:val="000000"/>
          <w:sz w:val="28"/>
        </w:rPr>
        <w:t>
      3) при застройке домами: 13-16 этажей не менее 48 метров;</w:t>
      </w:r>
    </w:p>
    <w:p>
      <w:pPr>
        <w:spacing w:after="0"/>
        <w:ind w:left="0"/>
        <w:jc w:val="both"/>
      </w:pPr>
      <w:r>
        <w:rPr>
          <w:rFonts w:ascii="Times New Roman"/>
          <w:b w:val="false"/>
          <w:i w:val="false"/>
          <w:color w:val="000000"/>
          <w:sz w:val="28"/>
        </w:rPr>
        <w:t>
      4) при застройке домами: 17 этажей и выше не менее 50 метров.</w:t>
      </w:r>
    </w:p>
    <w:p>
      <w:pPr>
        <w:spacing w:after="0"/>
        <w:ind w:left="0"/>
        <w:jc w:val="both"/>
      </w:pPr>
      <w:r>
        <w:rPr>
          <w:rFonts w:ascii="Times New Roman"/>
          <w:b w:val="false"/>
          <w:i w:val="false"/>
          <w:color w:val="000000"/>
          <w:sz w:val="28"/>
        </w:rPr>
        <w:t>
      17. Минимальная величина разрывов (бытовые расстояния) между короткими и длинными сторонами зданий линейного типа:</w:t>
      </w:r>
    </w:p>
    <w:p>
      <w:pPr>
        <w:spacing w:after="0"/>
        <w:ind w:left="0"/>
        <w:jc w:val="both"/>
      </w:pPr>
      <w:r>
        <w:rPr>
          <w:rFonts w:ascii="Times New Roman"/>
          <w:b w:val="false"/>
          <w:i w:val="false"/>
          <w:color w:val="000000"/>
          <w:sz w:val="28"/>
        </w:rPr>
        <w:t>
      1) при застройке домами: 4-5 этажей не менее 12 метров;</w:t>
      </w:r>
    </w:p>
    <w:p>
      <w:pPr>
        <w:spacing w:after="0"/>
        <w:ind w:left="0"/>
        <w:jc w:val="both"/>
      </w:pPr>
      <w:r>
        <w:rPr>
          <w:rFonts w:ascii="Times New Roman"/>
          <w:b w:val="false"/>
          <w:i w:val="false"/>
          <w:color w:val="000000"/>
          <w:sz w:val="28"/>
        </w:rPr>
        <w:t>
      2) при застройке домами: 6-12 этажей не менее 15 метров;</w:t>
      </w:r>
    </w:p>
    <w:p>
      <w:pPr>
        <w:spacing w:after="0"/>
        <w:ind w:left="0"/>
        <w:jc w:val="both"/>
      </w:pPr>
      <w:r>
        <w:rPr>
          <w:rFonts w:ascii="Times New Roman"/>
          <w:b w:val="false"/>
          <w:i w:val="false"/>
          <w:color w:val="000000"/>
          <w:sz w:val="28"/>
        </w:rPr>
        <w:t>
      3) при застройке домами: 13-16 этажей не менее 24 метров;</w:t>
      </w:r>
    </w:p>
    <w:p>
      <w:pPr>
        <w:spacing w:after="0"/>
        <w:ind w:left="0"/>
        <w:jc w:val="both"/>
      </w:pPr>
      <w:r>
        <w:rPr>
          <w:rFonts w:ascii="Times New Roman"/>
          <w:b w:val="false"/>
          <w:i w:val="false"/>
          <w:color w:val="000000"/>
          <w:sz w:val="28"/>
        </w:rPr>
        <w:t>
      4) при застройке домами: 17 этажей и выше не менее 45 метров.</w:t>
      </w:r>
    </w:p>
    <w:p>
      <w:pPr>
        <w:spacing w:after="0"/>
        <w:ind w:left="0"/>
        <w:jc w:val="both"/>
      </w:pPr>
      <w:r>
        <w:rPr>
          <w:rFonts w:ascii="Times New Roman"/>
          <w:b w:val="false"/>
          <w:i w:val="false"/>
          <w:color w:val="000000"/>
          <w:sz w:val="28"/>
        </w:rPr>
        <w:t>
      18. Не допускается:</w:t>
      </w:r>
    </w:p>
    <w:p>
      <w:pPr>
        <w:spacing w:after="0"/>
        <w:ind w:left="0"/>
        <w:jc w:val="both"/>
      </w:pPr>
      <w:r>
        <w:rPr>
          <w:rFonts w:ascii="Times New Roman"/>
          <w:b w:val="false"/>
          <w:i w:val="false"/>
          <w:color w:val="000000"/>
          <w:sz w:val="28"/>
        </w:rPr>
        <w:t>
      1) строительство высотных зданий вдоль пешеходных улиц, эвакуационных выездов из кварталов;</w:t>
      </w:r>
    </w:p>
    <w:p>
      <w:pPr>
        <w:spacing w:after="0"/>
        <w:ind w:left="0"/>
        <w:jc w:val="both"/>
      </w:pPr>
      <w:r>
        <w:rPr>
          <w:rFonts w:ascii="Times New Roman"/>
          <w:b w:val="false"/>
          <w:i w:val="false"/>
          <w:color w:val="000000"/>
          <w:sz w:val="28"/>
        </w:rPr>
        <w:t>
      2) размещение дошкольных образовательных организаций и общеобразовательных организаций во встроенных в высотные здания помещениях выше 12 этажей, а также над подземными и пристроенными стоянками автомобилей.</w:t>
      </w:r>
    </w:p>
    <w:p>
      <w:pPr>
        <w:spacing w:after="0"/>
        <w:ind w:left="0"/>
        <w:jc w:val="both"/>
      </w:pPr>
      <w:r>
        <w:rPr>
          <w:rFonts w:ascii="Times New Roman"/>
          <w:b w:val="false"/>
          <w:i w:val="false"/>
          <w:color w:val="000000"/>
          <w:sz w:val="28"/>
        </w:rPr>
        <w:t>
      3) минимальная величина разрывов между жилыми или общественными зданиями до 3 этажей (не более 12 метров по высоте от отметки уровня земли до конька кровли, определяется в соответствии с нормами инсоляции и допустимыми противопожарными разрывами).</w:t>
      </w:r>
    </w:p>
    <w:p>
      <w:pPr>
        <w:spacing w:after="0"/>
        <w:ind w:left="0"/>
        <w:jc w:val="both"/>
      </w:pPr>
      <w:r>
        <w:rPr>
          <w:rFonts w:ascii="Times New Roman"/>
          <w:b w:val="false"/>
          <w:i w:val="false"/>
          <w:color w:val="000000"/>
          <w:sz w:val="28"/>
        </w:rPr>
        <w:t>
      19. При размещении зданий башенного типа расстояние следует принимать с учетом норм обеспечения инсоляции всех жилых помещений но не менее 23 метров в случае размещения в одну линию с объединенным объҰмом первых этажей.</w:t>
      </w:r>
    </w:p>
    <w:p>
      <w:pPr>
        <w:spacing w:after="0"/>
        <w:ind w:left="0"/>
        <w:jc w:val="both"/>
      </w:pPr>
      <w:r>
        <w:rPr>
          <w:rFonts w:ascii="Times New Roman"/>
          <w:b w:val="false"/>
          <w:i w:val="false"/>
          <w:color w:val="000000"/>
          <w:sz w:val="28"/>
        </w:rPr>
        <w:t xml:space="preserve">
      20. При осуществлении проектирования и строительства жилых и нежилых зданий на территории города за пределами зон особого градостроительного регулирования необходимо учитывать следующие условия: </w:t>
      </w:r>
    </w:p>
    <w:p>
      <w:pPr>
        <w:spacing w:after="0"/>
        <w:ind w:left="0"/>
        <w:jc w:val="both"/>
      </w:pPr>
      <w:r>
        <w:rPr>
          <w:rFonts w:ascii="Times New Roman"/>
          <w:b w:val="false"/>
          <w:i w:val="false"/>
          <w:color w:val="000000"/>
          <w:sz w:val="28"/>
        </w:rPr>
        <w:t>
      1) размещать здания жилого и нежилого назначения на расстоянии не менее 6 метров от красных линий основных улиц города, не менее 3 метров от дорог местного значения;</w:t>
      </w:r>
    </w:p>
    <w:p>
      <w:pPr>
        <w:spacing w:after="0"/>
        <w:ind w:left="0"/>
        <w:jc w:val="both"/>
      </w:pPr>
      <w:r>
        <w:rPr>
          <w:rFonts w:ascii="Times New Roman"/>
          <w:b w:val="false"/>
          <w:i w:val="false"/>
          <w:color w:val="000000"/>
          <w:sz w:val="28"/>
        </w:rPr>
        <w:t>
      2) обеспеченность территории строительством детских дошкольных учреждений шаговой доступности с учетом предполагаемой плотности расселения населения (места в дошкольных учреждениях дошкольного возраста не менее 100 мест в расчете на тысячу человек);</w:t>
      </w:r>
    </w:p>
    <w:p>
      <w:pPr>
        <w:spacing w:after="0"/>
        <w:ind w:left="0"/>
        <w:jc w:val="both"/>
      </w:pPr>
      <w:r>
        <w:rPr>
          <w:rFonts w:ascii="Times New Roman"/>
          <w:b w:val="false"/>
          <w:i w:val="false"/>
          <w:color w:val="000000"/>
          <w:sz w:val="28"/>
        </w:rPr>
        <w:t>
      3) обеспеченность населения общеобразовательными учреждениями в шаговой доступности с учетом предполагаемой плотности расселения (не менее 180 мест на тысячу человек);</w:t>
      </w:r>
    </w:p>
    <w:p>
      <w:pPr>
        <w:spacing w:after="0"/>
        <w:ind w:left="0"/>
        <w:jc w:val="both"/>
      </w:pPr>
      <w:r>
        <w:rPr>
          <w:rFonts w:ascii="Times New Roman"/>
          <w:b w:val="false"/>
          <w:i w:val="false"/>
          <w:color w:val="000000"/>
          <w:sz w:val="28"/>
        </w:rPr>
        <w:t>
      4) обеспеченность амбулаторно-поликлиническими учреждениями;</w:t>
      </w:r>
    </w:p>
    <w:p>
      <w:pPr>
        <w:spacing w:after="0"/>
        <w:ind w:left="0"/>
        <w:jc w:val="both"/>
      </w:pPr>
      <w:r>
        <w:rPr>
          <w:rFonts w:ascii="Times New Roman"/>
          <w:b w:val="false"/>
          <w:i w:val="false"/>
          <w:color w:val="000000"/>
          <w:sz w:val="28"/>
        </w:rPr>
        <w:t>
      5) наличие участкового пункта полиции (из расчета 1 участковый инспектор на 3 тыс. человек, минимальная площадь для участкового пункта полиции должна быть не менее 45 квадратных метров).</w:t>
      </w:r>
    </w:p>
    <w:p>
      <w:pPr>
        <w:spacing w:after="0"/>
        <w:ind w:left="0"/>
        <w:jc w:val="both"/>
      </w:pPr>
      <w:r>
        <w:rPr>
          <w:rFonts w:ascii="Times New Roman"/>
          <w:b w:val="false"/>
          <w:i w:val="false"/>
          <w:color w:val="000000"/>
          <w:sz w:val="28"/>
        </w:rPr>
        <w:t>
      21. Фасады зданий и сооружений на территории города должны отражать отличительные эстетические характеристики качества города и окружающей градостроительной среды (стилевую и композиционную целостность, ритм, соразмерность и пропорциональность, визуальное восприятие, баланс открытых и закрытых пространств), соответствовать архитектурно-градостроительному облику, предусмотренному в проектной документации и (или) согласованному эскизному проекту.</w:t>
      </w:r>
    </w:p>
    <w:p>
      <w:pPr>
        <w:spacing w:after="0"/>
        <w:ind w:left="0"/>
        <w:jc w:val="both"/>
      </w:pPr>
      <w:r>
        <w:rPr>
          <w:rFonts w:ascii="Times New Roman"/>
          <w:b w:val="false"/>
          <w:i w:val="false"/>
          <w:color w:val="000000"/>
          <w:sz w:val="28"/>
        </w:rPr>
        <w:t>
      22. Расположение окон и витрин на фасаде, их габариты, характер устройства и внешний вид, включая цветовое решение, должны соответствовать технической документации здания, системе горизонтальных и вертикальных осей, симметрии, регулярности по высоте, ритму, объемно-пространственному решению здания, предусмотренных проектом здания.</w:t>
      </w:r>
    </w:p>
    <w:p>
      <w:pPr>
        <w:spacing w:after="0"/>
        <w:ind w:left="0"/>
        <w:jc w:val="both"/>
      </w:pPr>
      <w:r>
        <w:rPr>
          <w:rFonts w:ascii="Times New Roman"/>
          <w:b w:val="false"/>
          <w:i w:val="false"/>
          <w:color w:val="000000"/>
          <w:sz w:val="28"/>
        </w:rPr>
        <w:t>
      23. Устройство и оборудование входных групп (входов) осуществляется в соответствии с согласованной и утвержденной проектной документацией, с учетом обеспечения надежности, безопасности конструкций, исключая ущерб для внешнего вида фасада здания и архитектурно-планировочного замысла, удобства и безопасности пешеходного и транспортного движения.</w:t>
      </w:r>
    </w:p>
    <w:p>
      <w:pPr>
        <w:spacing w:after="0"/>
        <w:ind w:left="0"/>
        <w:jc w:val="both"/>
      </w:pPr>
      <w:r>
        <w:rPr>
          <w:rFonts w:ascii="Times New Roman"/>
          <w:b w:val="false"/>
          <w:i w:val="false"/>
          <w:color w:val="000000"/>
          <w:sz w:val="28"/>
        </w:rPr>
        <w:t>
      24. В целях сохранения внешнего архитектурного облика зданий, для визуальной доступности декоративно-художественных элементов и минимального нанесения материального ущерба фасадам, входные группы (входы) оборудуются легкими типовыми прозрачными навесами безопасности из противоударного высокопрочного стекла на подвесных или опорных кронштейнах согласно проекту.</w:t>
      </w:r>
    </w:p>
    <w:p>
      <w:pPr>
        <w:spacing w:after="0"/>
        <w:ind w:left="0"/>
        <w:jc w:val="both"/>
      </w:pPr>
      <w:r>
        <w:rPr>
          <w:rFonts w:ascii="Times New Roman"/>
          <w:b w:val="false"/>
          <w:i w:val="false"/>
          <w:color w:val="000000"/>
          <w:sz w:val="28"/>
        </w:rPr>
        <w:t>
      25. Расположение лоджий и балконов на фасадах зданий, характер их устройства и внешний вид должны соответствовать архитектурному решению фасада, предусмотренного проектной документацией или архитектурному паспорту фасада.</w:t>
      </w:r>
    </w:p>
    <w:p>
      <w:pPr>
        <w:spacing w:after="0"/>
        <w:ind w:left="0"/>
        <w:jc w:val="both"/>
      </w:pPr>
      <w:r>
        <w:rPr>
          <w:rFonts w:ascii="Times New Roman"/>
          <w:b w:val="false"/>
          <w:i w:val="false"/>
          <w:color w:val="000000"/>
          <w:sz w:val="28"/>
        </w:rPr>
        <w:t xml:space="preserve">
      26. Балконы, лоджии, эркеры должны быть единообразными по всей высоте здания (не зависимо от этажа и месторасположения балкона, лоджии, эркера в здании) и соответствовать проектной документации, применяемой при строительстве здания или сооружения. </w:t>
      </w:r>
    </w:p>
    <w:p>
      <w:pPr>
        <w:spacing w:after="0"/>
        <w:ind w:left="0"/>
        <w:jc w:val="both"/>
      </w:pPr>
      <w:r>
        <w:rPr>
          <w:rFonts w:ascii="Times New Roman"/>
          <w:b w:val="false"/>
          <w:i w:val="false"/>
          <w:color w:val="000000"/>
          <w:sz w:val="28"/>
        </w:rPr>
        <w:t>
      27. Цветовое решение балконов и лоджий должно соответствовать особенностям архитектурного решения фасада согласно проектной документации здания или архитектурному паспорту фасада.</w:t>
      </w:r>
    </w:p>
    <w:p>
      <w:pPr>
        <w:spacing w:after="0"/>
        <w:ind w:left="0"/>
        <w:jc w:val="both"/>
      </w:pPr>
      <w:r>
        <w:rPr>
          <w:rFonts w:ascii="Times New Roman"/>
          <w:b w:val="false"/>
          <w:i w:val="false"/>
          <w:color w:val="000000"/>
          <w:sz w:val="28"/>
        </w:rPr>
        <w:t>
      28. Размещение технического оборудования необходимо производить без ущерба для внешнего вида архитектуры и технического состояния фасадов, с учетом комплексного решения размещения оборудования при минимальном контакте с архитектурными поверхностями, рациональном устройстве и технологичности крепежа, использовании стандартных конструкций крепления.</w:t>
      </w:r>
    </w:p>
    <w:p>
      <w:pPr>
        <w:spacing w:after="0"/>
        <w:ind w:left="0"/>
        <w:jc w:val="both"/>
      </w:pPr>
      <w:r>
        <w:rPr>
          <w:rFonts w:ascii="Times New Roman"/>
          <w:b w:val="false"/>
          <w:i w:val="false"/>
          <w:color w:val="000000"/>
          <w:sz w:val="28"/>
        </w:rPr>
        <w:t>
      29. Эксплуатация инженерного оборудования не должна наносить ущерб внешнему виду и техническому состоянию фасада, причинять неудобства окружающим.</w:t>
      </w:r>
    </w:p>
    <w:p>
      <w:pPr>
        <w:spacing w:after="0"/>
        <w:ind w:left="0"/>
        <w:jc w:val="both"/>
      </w:pPr>
      <w:r>
        <w:rPr>
          <w:rFonts w:ascii="Times New Roman"/>
          <w:b w:val="false"/>
          <w:i w:val="false"/>
          <w:color w:val="000000"/>
          <w:sz w:val="28"/>
        </w:rPr>
        <w:t>
      30. Размещение спутниковой антенны на фасаде многоэтажных жилых и общественных зданий не допускается.</w:t>
      </w:r>
    </w:p>
    <w:p>
      <w:pPr>
        <w:spacing w:after="0"/>
        <w:ind w:left="0"/>
        <w:jc w:val="both"/>
      </w:pPr>
      <w:r>
        <w:rPr>
          <w:rFonts w:ascii="Times New Roman"/>
          <w:b w:val="false"/>
          <w:i w:val="false"/>
          <w:color w:val="000000"/>
          <w:sz w:val="28"/>
        </w:rPr>
        <w:t>
      31. Размещение объекта рекламы на фасаде здания без учета вывески коммерческих объектов не допускается.</w:t>
      </w:r>
    </w:p>
    <w:p>
      <w:pPr>
        <w:spacing w:after="0"/>
        <w:ind w:left="0"/>
        <w:jc w:val="both"/>
      </w:pPr>
      <w:r>
        <w:rPr>
          <w:rFonts w:ascii="Times New Roman"/>
          <w:b w:val="false"/>
          <w:i w:val="false"/>
          <w:color w:val="000000"/>
          <w:sz w:val="28"/>
        </w:rPr>
        <w:t>
      32. На фасаде многоэтажных жилых и общественных зданий кондицонер должен быть установлен в специальную корзину (контейнер).</w:t>
      </w:r>
    </w:p>
    <w:p>
      <w:pPr>
        <w:spacing w:after="0"/>
        <w:ind w:left="0"/>
        <w:jc w:val="both"/>
      </w:pPr>
      <w:r>
        <w:rPr>
          <w:rFonts w:ascii="Times New Roman"/>
          <w:b w:val="false"/>
          <w:i w:val="false"/>
          <w:color w:val="000000"/>
          <w:sz w:val="28"/>
        </w:rPr>
        <w:t>
      33. При формировании архитектурного облика и градостроительного планирования необходимо организовать:</w:t>
      </w:r>
    </w:p>
    <w:p>
      <w:pPr>
        <w:spacing w:after="0"/>
        <w:ind w:left="0"/>
        <w:jc w:val="both"/>
      </w:pPr>
      <w:r>
        <w:rPr>
          <w:rFonts w:ascii="Times New Roman"/>
          <w:b w:val="false"/>
          <w:i w:val="false"/>
          <w:color w:val="000000"/>
          <w:sz w:val="28"/>
        </w:rPr>
        <w:t>
      1) парковочные места на расстоянии от жилых зданий не менее 10 метров;</w:t>
      </w:r>
    </w:p>
    <w:p>
      <w:pPr>
        <w:spacing w:after="0"/>
        <w:ind w:left="0"/>
        <w:jc w:val="both"/>
      </w:pPr>
      <w:r>
        <w:rPr>
          <w:rFonts w:ascii="Times New Roman"/>
          <w:b w:val="false"/>
          <w:i w:val="false"/>
          <w:color w:val="000000"/>
          <w:sz w:val="28"/>
        </w:rPr>
        <w:t>
      2) организация малых архитектурных форм, выдержанных в едином стиле согласно архитектурному облику (Дизайн коду) (оборудования для маломобильных групп населения, скамьи, урны, вазоны, детские игровые комплексы);</w:t>
      </w:r>
    </w:p>
    <w:p>
      <w:pPr>
        <w:spacing w:after="0"/>
        <w:ind w:left="0"/>
        <w:jc w:val="both"/>
      </w:pPr>
      <w:r>
        <w:rPr>
          <w:rFonts w:ascii="Times New Roman"/>
          <w:b w:val="false"/>
          <w:i w:val="false"/>
          <w:color w:val="000000"/>
          <w:sz w:val="28"/>
        </w:rPr>
        <w:t>
      3) без барьерную пешеходную среду для маломобильных групп населения (пандусы, тактильные плитки);</w:t>
      </w:r>
    </w:p>
    <w:p>
      <w:pPr>
        <w:spacing w:after="0"/>
        <w:ind w:left="0"/>
        <w:jc w:val="both"/>
      </w:pPr>
      <w:r>
        <w:rPr>
          <w:rFonts w:ascii="Times New Roman"/>
          <w:b w:val="false"/>
          <w:i w:val="false"/>
          <w:color w:val="000000"/>
          <w:sz w:val="28"/>
        </w:rPr>
        <w:t>
      4) использование покрытий дворовой территории в зависимости от назначения (асфальтовое покрытие, плиточное покрытие, резиновое покрытие детской или спортивной площадки);</w:t>
      </w:r>
    </w:p>
    <w:p>
      <w:pPr>
        <w:spacing w:after="0"/>
        <w:ind w:left="0"/>
        <w:jc w:val="both"/>
      </w:pPr>
      <w:r>
        <w:rPr>
          <w:rFonts w:ascii="Times New Roman"/>
          <w:b w:val="false"/>
          <w:i w:val="false"/>
          <w:color w:val="000000"/>
          <w:sz w:val="28"/>
        </w:rPr>
        <w:t>
      5) обеспечение высокого уровня безопасности и комфортности территории (организация достаточного освещения дворов);</w:t>
      </w:r>
    </w:p>
    <w:p>
      <w:pPr>
        <w:spacing w:after="0"/>
        <w:ind w:left="0"/>
        <w:jc w:val="both"/>
      </w:pPr>
      <w:r>
        <w:rPr>
          <w:rFonts w:ascii="Times New Roman"/>
          <w:b w:val="false"/>
          <w:i w:val="false"/>
          <w:color w:val="000000"/>
          <w:sz w:val="28"/>
        </w:rPr>
        <w:t>
      6) зоны отдыха и хозяйственные зоны.</w:t>
      </w:r>
    </w:p>
    <w:p>
      <w:pPr>
        <w:spacing w:after="0"/>
        <w:ind w:left="0"/>
        <w:jc w:val="both"/>
      </w:pPr>
      <w:r>
        <w:rPr>
          <w:rFonts w:ascii="Times New Roman"/>
          <w:b w:val="false"/>
          <w:i w:val="false"/>
          <w:color w:val="000000"/>
          <w:sz w:val="28"/>
        </w:rPr>
        <w:t xml:space="preserve">
      34. Архитектурному освещению подлежат: </w:t>
      </w:r>
    </w:p>
    <w:p>
      <w:pPr>
        <w:spacing w:after="0"/>
        <w:ind w:left="0"/>
        <w:jc w:val="both"/>
      </w:pPr>
      <w:r>
        <w:rPr>
          <w:rFonts w:ascii="Times New Roman"/>
          <w:b w:val="false"/>
          <w:i w:val="false"/>
          <w:color w:val="000000"/>
          <w:sz w:val="28"/>
        </w:rPr>
        <w:t>
      1) объекты особой исторической и архитектурной значимости: памятники истории, архитектуры, монументы, фонтаны и садово-паркового искусства, включая воссозданные, с учетом режимов охранных зон;</w:t>
      </w:r>
    </w:p>
    <w:p>
      <w:pPr>
        <w:spacing w:after="0"/>
        <w:ind w:left="0"/>
        <w:jc w:val="both"/>
      </w:pPr>
      <w:r>
        <w:rPr>
          <w:rFonts w:ascii="Times New Roman"/>
          <w:b w:val="false"/>
          <w:i w:val="false"/>
          <w:color w:val="000000"/>
          <w:sz w:val="28"/>
        </w:rPr>
        <w:t>
      2) объекты особой общественной значимости: здания, предназначенные для осуществления городских функций и функций административных центров города;</w:t>
      </w:r>
    </w:p>
    <w:p>
      <w:pPr>
        <w:spacing w:after="0"/>
        <w:ind w:left="0"/>
        <w:jc w:val="both"/>
      </w:pPr>
      <w:r>
        <w:rPr>
          <w:rFonts w:ascii="Times New Roman"/>
          <w:b w:val="false"/>
          <w:i w:val="false"/>
          <w:color w:val="000000"/>
          <w:sz w:val="28"/>
        </w:rPr>
        <w:t>
      3) культовые объекты, культурные центры, театры, кинотеатры, концертные залы, музеи и выставочные центры, вокзалы, аэропорт, подземные и наземные переходы, спортивные и гостиничные комплексы;</w:t>
      </w:r>
    </w:p>
    <w:p>
      <w:pPr>
        <w:spacing w:after="0"/>
        <w:ind w:left="0"/>
        <w:jc w:val="both"/>
      </w:pPr>
      <w:r>
        <w:rPr>
          <w:rFonts w:ascii="Times New Roman"/>
          <w:b w:val="false"/>
          <w:i w:val="false"/>
          <w:color w:val="000000"/>
          <w:sz w:val="28"/>
        </w:rPr>
        <w:t>
      4) высотные здания, телевизионные и радиовышки, пешеходные и автомобильные мосты;</w:t>
      </w:r>
    </w:p>
    <w:p>
      <w:pPr>
        <w:spacing w:after="0"/>
        <w:ind w:left="0"/>
        <w:jc w:val="both"/>
      </w:pPr>
      <w:r>
        <w:rPr>
          <w:rFonts w:ascii="Times New Roman"/>
          <w:b w:val="false"/>
          <w:i w:val="false"/>
          <w:color w:val="000000"/>
          <w:sz w:val="28"/>
        </w:rPr>
        <w:t>
      5) объекты особой значимости: общественные и жилые здания, расположенные на планировочных осях площадей, осях и изгибах радиальных и кольцевых магистралей и набережных рек города, магистралей, набережных и бульваров, на их пересечениях; производственные здания, инженерные сооружения (трубы, строительные краны, высокомачтовые осветительные установки), находящиеся вдоль основных автомагистралей.</w:t>
      </w:r>
    </w:p>
    <w:p>
      <w:pPr>
        <w:spacing w:after="0"/>
        <w:ind w:left="0"/>
        <w:jc w:val="both"/>
      </w:pPr>
      <w:r>
        <w:rPr>
          <w:rFonts w:ascii="Times New Roman"/>
          <w:b w:val="false"/>
          <w:i w:val="false"/>
          <w:color w:val="000000"/>
          <w:sz w:val="28"/>
        </w:rPr>
        <w:t>
      35. Проектирование, строительство инженерных сетей и сооружений осуществляется с последующей передачей сетей на баланс соответствующих служб города.</w:t>
      </w:r>
    </w:p>
    <w:p>
      <w:pPr>
        <w:spacing w:after="0"/>
        <w:ind w:left="0"/>
        <w:jc w:val="both"/>
      </w:pPr>
      <w:r>
        <w:rPr>
          <w:rFonts w:ascii="Times New Roman"/>
          <w:b w:val="false"/>
          <w:i w:val="false"/>
          <w:color w:val="000000"/>
          <w:sz w:val="28"/>
        </w:rPr>
        <w:t>
      Прокладку открытым способом допускается осуществлять путем строительства коммуникационных тоннелей, каналов.</w:t>
      </w:r>
    </w:p>
    <w:p>
      <w:pPr>
        <w:spacing w:after="0"/>
        <w:ind w:left="0"/>
        <w:jc w:val="both"/>
      </w:pPr>
      <w:r>
        <w:rPr>
          <w:rFonts w:ascii="Times New Roman"/>
          <w:b w:val="false"/>
          <w:i w:val="false"/>
          <w:color w:val="000000"/>
          <w:sz w:val="28"/>
        </w:rPr>
        <w:t xml:space="preserve">
      36. Проектирование инженерных сетей осуществляется в пределах зон инженерных коридоров. </w:t>
      </w:r>
    </w:p>
    <w:p>
      <w:pPr>
        <w:spacing w:after="0"/>
        <w:ind w:left="0"/>
        <w:jc w:val="both"/>
      </w:pPr>
      <w:r>
        <w:rPr>
          <w:rFonts w:ascii="Times New Roman"/>
          <w:b w:val="false"/>
          <w:i w:val="false"/>
          <w:color w:val="000000"/>
          <w:sz w:val="28"/>
        </w:rPr>
        <w:t xml:space="preserve">
      37. Проектирование и строительство инженерных сетей и автомобильных дорог необходимо осуществлять в пределах красных линий улиц, утверждаемых в градостроительной документации города (Генеральном плане, проектах детальной планировки и (или) проектах застройки), с обоснованием, при необходимости, в стесненных, горных, высоко-горных условиях или на охраняемых природных территориях параметров элементов плана, уклонов продольного профиля, параметров поперечного профиля улиц и дорог, включая тротуары и велодорожки, расчетом в зависимости от существующей скорости движения и габаритов расчетного автомобиля с разработкой мероприятий, обеспечивающих безопасность движения с расчетными скоростями. </w:t>
      </w:r>
    </w:p>
    <w:p>
      <w:pPr>
        <w:spacing w:after="0"/>
        <w:ind w:left="0"/>
        <w:jc w:val="both"/>
      </w:pPr>
      <w:r>
        <w:rPr>
          <w:rFonts w:ascii="Times New Roman"/>
          <w:b w:val="false"/>
          <w:i w:val="false"/>
          <w:color w:val="000000"/>
          <w:sz w:val="28"/>
        </w:rPr>
        <w:t xml:space="preserve">
      38. Строительство, реконструкция и ремонт дорожных покрытий городских улиц и внутриквартальных территорий необходимо производить в соответствии с требованиями действующих нормативных правовых актов Республики Казахстан. </w:t>
      </w:r>
    </w:p>
    <w:p>
      <w:pPr>
        <w:spacing w:after="0"/>
        <w:ind w:left="0"/>
        <w:jc w:val="both"/>
      </w:pPr>
      <w:r>
        <w:rPr>
          <w:rFonts w:ascii="Times New Roman"/>
          <w:b w:val="false"/>
          <w:i w:val="false"/>
          <w:color w:val="000000"/>
          <w:sz w:val="28"/>
        </w:rPr>
        <w:t>
      39. При разработке проектов организации дорожного движения, строительства, реконструкции и ремонта дорог, а также при содержании и эксплуатации улично-дорожной сети города применять:</w:t>
      </w:r>
    </w:p>
    <w:p>
      <w:pPr>
        <w:spacing w:after="0"/>
        <w:ind w:left="0"/>
        <w:jc w:val="both"/>
      </w:pPr>
      <w:r>
        <w:rPr>
          <w:rFonts w:ascii="Times New Roman"/>
          <w:b w:val="false"/>
          <w:i w:val="false"/>
          <w:color w:val="000000"/>
          <w:sz w:val="28"/>
        </w:rPr>
        <w:t>
      1) на улицах и дорогах с интенсивным движением транспорта, с количеством полос более двух в обоих направлениях, транспортных развязках, улицах с выделенной полосой для общественного транспорта долговечные разметочные материалы (двухкомпонентный пластик холодного нанесения). Ширину продольных линий разметки предусматривать – 0,15 метров;</w:t>
      </w:r>
    </w:p>
    <w:p>
      <w:pPr>
        <w:spacing w:after="0"/>
        <w:ind w:left="0"/>
        <w:jc w:val="both"/>
      </w:pPr>
      <w:r>
        <w:rPr>
          <w:rFonts w:ascii="Times New Roman"/>
          <w:b w:val="false"/>
          <w:i w:val="false"/>
          <w:color w:val="000000"/>
          <w:sz w:val="28"/>
        </w:rPr>
        <w:t>
      2) на остальных улицах города при количестве полос движения двух и менее в обоих направлениях, материал для дорожной разметки линий применяется в соответствии с результатами расчетов. Ширину продольных линий разметки предусматривать – 0,12 метров.</w:t>
      </w:r>
    </w:p>
    <w:p>
      <w:pPr>
        <w:spacing w:after="0"/>
        <w:ind w:left="0"/>
        <w:jc w:val="both"/>
      </w:pPr>
      <w:r>
        <w:rPr>
          <w:rFonts w:ascii="Times New Roman"/>
          <w:b w:val="false"/>
          <w:i w:val="false"/>
          <w:color w:val="000000"/>
          <w:sz w:val="28"/>
        </w:rPr>
        <w:t>
      40. Не допускается проводить строительно-монтажные работы инженерных сетей по проектам строительства в период отопительного сезона:</w:t>
      </w:r>
    </w:p>
    <w:p>
      <w:pPr>
        <w:spacing w:after="0"/>
        <w:ind w:left="0"/>
        <w:jc w:val="both"/>
      </w:pPr>
      <w:r>
        <w:rPr>
          <w:rFonts w:ascii="Times New Roman"/>
          <w:b w:val="false"/>
          <w:i w:val="false"/>
          <w:color w:val="000000"/>
          <w:sz w:val="28"/>
        </w:rPr>
        <w:t>
      1) реконструкции и капитальный ремонт дорог;</w:t>
      </w:r>
    </w:p>
    <w:p>
      <w:pPr>
        <w:spacing w:after="0"/>
        <w:ind w:left="0"/>
        <w:jc w:val="both"/>
      </w:pPr>
      <w:r>
        <w:rPr>
          <w:rFonts w:ascii="Times New Roman"/>
          <w:b w:val="false"/>
          <w:i w:val="false"/>
          <w:color w:val="000000"/>
          <w:sz w:val="28"/>
        </w:rPr>
        <w:t>
      2) подземных инженерных коммуникаций;</w:t>
      </w:r>
    </w:p>
    <w:p>
      <w:pPr>
        <w:spacing w:after="0"/>
        <w:ind w:left="0"/>
        <w:jc w:val="both"/>
      </w:pPr>
      <w:r>
        <w:rPr>
          <w:rFonts w:ascii="Times New Roman"/>
          <w:b w:val="false"/>
          <w:i w:val="false"/>
          <w:color w:val="000000"/>
          <w:sz w:val="28"/>
        </w:rPr>
        <w:t>
      3) освещения и линий электропередач, и другие работы, связанные с разрытием грунта или вскрытием дорожных покрытий в пределах красных линий улиц.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