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7b82cd" w14:textId="17b82c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дизайн-кода города Туркестана</w:t>
      </w:r>
    </w:p>
    <w:p>
      <w:pPr>
        <w:spacing w:after="0"/>
        <w:ind w:left="0"/>
        <w:jc w:val="both"/>
      </w:pPr>
      <w:r>
        <w:rPr>
          <w:rFonts w:ascii="Times New Roman"/>
          <w:b w:val="false"/>
          <w:i w:val="false"/>
          <w:color w:val="000000"/>
          <w:sz w:val="28"/>
        </w:rPr>
        <w:t>Решение Туркестанского городского маслихата Туркестанской области от 18 апреля 2025 года № 29/133-VIII. Зарегистрировано в Департаменте юстиции Туркестанской области 18 апреля 2025 года № 6683-13</w:t>
      </w:r>
    </w:p>
    <w:p>
      <w:pPr>
        <w:spacing w:after="0"/>
        <w:ind w:left="0"/>
        <w:jc w:val="both"/>
      </w:pPr>
      <w:bookmarkStart w:name="z1"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статьи 8 Закона Республики Казахстан "Об особом статусе города Туркестана", Туркестанский городской маслихат РЕШИЛ:</w:t>
      </w:r>
    </w:p>
    <w:bookmarkEnd w:id="0"/>
    <w:bookmarkStart w:name="z2" w:id="1"/>
    <w:p>
      <w:pPr>
        <w:spacing w:after="0"/>
        <w:ind w:left="0"/>
        <w:jc w:val="both"/>
      </w:pPr>
      <w:r>
        <w:rPr>
          <w:rFonts w:ascii="Times New Roman"/>
          <w:b w:val="false"/>
          <w:i w:val="false"/>
          <w:color w:val="000000"/>
          <w:sz w:val="28"/>
        </w:rPr>
        <w:t xml:space="preserve">
      1. Утвердить дизайн-код города Туркестана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решению.</w:t>
      </w:r>
    </w:p>
    <w:bookmarkEnd w:id="1"/>
    <w:bookmarkStart w:name="z3" w:id="2"/>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Председатель городского маслихата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Г. Сарсенбаев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r>
              <w:br/>
            </w:r>
            <w:r>
              <w:rPr>
                <w:rFonts w:ascii="Times New Roman"/>
                <w:b w:val="false"/>
                <w:i w:val="false"/>
                <w:color w:val="000000"/>
                <w:sz w:val="20"/>
              </w:rPr>
              <w:t>Туркестанского городского</w:t>
            </w:r>
            <w:r>
              <w:br/>
            </w:r>
            <w:r>
              <w:rPr>
                <w:rFonts w:ascii="Times New Roman"/>
                <w:b w:val="false"/>
                <w:i w:val="false"/>
                <w:color w:val="000000"/>
                <w:sz w:val="20"/>
              </w:rPr>
              <w:t>маслихата</w:t>
            </w:r>
            <w:r>
              <w:br/>
            </w:r>
            <w:r>
              <w:rPr>
                <w:rFonts w:ascii="Times New Roman"/>
                <w:b w:val="false"/>
                <w:i w:val="false"/>
                <w:color w:val="000000"/>
                <w:sz w:val="20"/>
              </w:rPr>
              <w:t>от 18 апреля 2025 года</w:t>
            </w:r>
            <w:r>
              <w:br/>
            </w:r>
            <w:r>
              <w:rPr>
                <w:rFonts w:ascii="Times New Roman"/>
                <w:b w:val="false"/>
                <w:i w:val="false"/>
                <w:color w:val="000000"/>
                <w:sz w:val="20"/>
              </w:rPr>
              <w:t>№29/133-VIII</w:t>
            </w:r>
          </w:p>
        </w:tc>
      </w:tr>
    </w:tbl>
    <w:bookmarkStart w:name="z5" w:id="3"/>
    <w:p>
      <w:pPr>
        <w:spacing w:after="0"/>
        <w:ind w:left="0"/>
        <w:jc w:val="left"/>
      </w:pPr>
      <w:r>
        <w:rPr>
          <w:rFonts w:ascii="Times New Roman"/>
          <w:b/>
          <w:i w:val="false"/>
          <w:color w:val="000000"/>
        </w:rPr>
        <w:t xml:space="preserve"> Дизайн-код города Туркестан </w:t>
      </w:r>
    </w:p>
    <w:bookmarkEnd w:id="3"/>
    <w:bookmarkStart w:name="z6" w:id="4"/>
    <w:p>
      <w:pPr>
        <w:spacing w:after="0"/>
        <w:ind w:left="0"/>
        <w:jc w:val="left"/>
      </w:pPr>
      <w:r>
        <w:rPr>
          <w:rFonts w:ascii="Times New Roman"/>
          <w:b/>
          <w:i w:val="false"/>
          <w:color w:val="000000"/>
        </w:rPr>
        <w:t xml:space="preserve"> Глава 1. Общие положения</w:t>
      </w:r>
    </w:p>
    <w:bookmarkEnd w:id="4"/>
    <w:p>
      <w:pPr>
        <w:spacing w:after="0"/>
        <w:ind w:left="0"/>
        <w:jc w:val="both"/>
      </w:pPr>
      <w:r>
        <w:rPr>
          <w:rFonts w:ascii="Times New Roman"/>
          <w:b w:val="false"/>
          <w:i w:val="false"/>
          <w:color w:val="000000"/>
          <w:sz w:val="28"/>
        </w:rPr>
        <w:t xml:space="preserve">
      1. Дизайн-код города Туркестан (далее – Дизайн-код)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особом статусе города Туркестана",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архитектурной, градостроительной и строительной деятельности в Республике Казахстан" и определяет порядок формирования архитектурного стиля города Туркестан с учетом исторических, ландшафтно-природных, функциональных, местных особенностей и современных потребностей жителей и гостей города Туркестан.</w:t>
      </w:r>
    </w:p>
    <w:p>
      <w:pPr>
        <w:spacing w:after="0"/>
        <w:ind w:left="0"/>
        <w:jc w:val="both"/>
      </w:pPr>
      <w:r>
        <w:rPr>
          <w:rFonts w:ascii="Times New Roman"/>
          <w:b w:val="false"/>
          <w:i w:val="false"/>
          <w:color w:val="000000"/>
          <w:sz w:val="28"/>
        </w:rPr>
        <w:t>
      2. В настоящем документе используются следующие понятия:</w:t>
      </w:r>
    </w:p>
    <w:p>
      <w:pPr>
        <w:spacing w:after="0"/>
        <w:ind w:left="0"/>
        <w:jc w:val="both"/>
      </w:pPr>
      <w:r>
        <w:rPr>
          <w:rFonts w:ascii="Times New Roman"/>
          <w:b w:val="false"/>
          <w:i w:val="false"/>
          <w:color w:val="000000"/>
          <w:sz w:val="28"/>
        </w:rPr>
        <w:t>
      1) информационные сооружения - различного рода объемные или плоскостные объекты, предназначенные для нанесения, размещения или отображения на них информации любого характера, в том числе экраны и электронные табло для отображения видеоизображений, за исключением наружной (визуальной) рекламы;</w:t>
      </w:r>
    </w:p>
    <w:p>
      <w:pPr>
        <w:spacing w:after="0"/>
        <w:ind w:left="0"/>
        <w:jc w:val="both"/>
      </w:pPr>
      <w:r>
        <w:rPr>
          <w:rFonts w:ascii="Times New Roman"/>
          <w:b w:val="false"/>
          <w:i w:val="false"/>
          <w:color w:val="000000"/>
          <w:sz w:val="28"/>
        </w:rPr>
        <w:t>
      2) единый архитектурный стиль – совокупность единых признаков, используемых в строительстве, характерная для определенного района застройки территории, в том числе индивидуальной застройки. Основными параметрами являются внешний облик, архитектурный стиль, цветовое решение, этажность, отделочные материалы. Для района индивидуальной застройки основными параметрами являются внешний облик, архитектурный стиль, цветовое решение, этажность, отделочные материалы, ограждения, тип кровли и расположение хозяйственно-бытовых построек на территории участка;</w:t>
      </w:r>
    </w:p>
    <w:p>
      <w:pPr>
        <w:spacing w:after="0"/>
        <w:ind w:left="0"/>
        <w:jc w:val="both"/>
      </w:pPr>
      <w:r>
        <w:rPr>
          <w:rFonts w:ascii="Times New Roman"/>
          <w:b w:val="false"/>
          <w:i w:val="false"/>
          <w:color w:val="000000"/>
          <w:sz w:val="28"/>
        </w:rPr>
        <w:t>
      3) сооружение – искусственно созданный объемный, плоскостной или линейный объект (наземный, надводный и (или) подземный, подводный), имеющий естественные или искусственные пространственные границы и предназначенный для выполнения производственных процессов, размещения и хранения материальных ценностей или временного пребывания (перемещения) людей, грузов, а также размещения (прокладки, проводки) оборудования или коммуникаций. Сооружение также имеет художественно-эстетическое, декоративно-прикладное либо мемориальное назначение;</w:t>
      </w:r>
    </w:p>
    <w:p>
      <w:pPr>
        <w:spacing w:after="0"/>
        <w:ind w:left="0"/>
        <w:jc w:val="both"/>
      </w:pPr>
      <w:r>
        <w:rPr>
          <w:rFonts w:ascii="Times New Roman"/>
          <w:b w:val="false"/>
          <w:i w:val="false"/>
          <w:color w:val="000000"/>
          <w:sz w:val="28"/>
        </w:rPr>
        <w:t>
      4) дизайн-код – это свод требований, регламентирующих обязательную визуальную составляющую элементов городского пространства: фасадов зданий и сооружений, благоустройства, вывесок, указателей, малых архитектурных форм и элементов городской инфраструктуры, направленных на формирование целостной эстетичной архитектуры, комфортной, доступной и безопасной городской среды;</w:t>
      </w:r>
    </w:p>
    <w:p>
      <w:pPr>
        <w:spacing w:after="0"/>
        <w:ind w:left="0"/>
        <w:jc w:val="both"/>
      </w:pPr>
      <w:r>
        <w:rPr>
          <w:rFonts w:ascii="Times New Roman"/>
          <w:b w:val="false"/>
          <w:i w:val="false"/>
          <w:color w:val="000000"/>
          <w:sz w:val="28"/>
        </w:rPr>
        <w:t>
      5) уличная мебель (оборудование, малые архитектурные формы) – объекты декоративного характера и практического использования (вазы для цветов, павильоны, беседки, скамьи, урны, остановки общественного транспорта, информационная панель, оборудование и конструкции для игр детей и отдыха взрослого населения), устанавливаемые в населенных пунктах на открытом пространстве за пределами помещений;</w:t>
      </w:r>
    </w:p>
    <w:p>
      <w:pPr>
        <w:spacing w:after="0"/>
        <w:ind w:left="0"/>
        <w:jc w:val="both"/>
      </w:pPr>
      <w:r>
        <w:rPr>
          <w:rFonts w:ascii="Times New Roman"/>
          <w:b w:val="false"/>
          <w:i w:val="false"/>
          <w:color w:val="000000"/>
          <w:sz w:val="28"/>
        </w:rPr>
        <w:t>
      6) уличная навигация – это система указателей, информационных стендов и панелей с картами, указывающими на местонахождение, направление в ближайшие точки достопримечательностей и другие маршруты;</w:t>
      </w:r>
    </w:p>
    <w:p>
      <w:pPr>
        <w:spacing w:after="0"/>
        <w:ind w:left="0"/>
        <w:jc w:val="both"/>
      </w:pPr>
      <w:r>
        <w:rPr>
          <w:rFonts w:ascii="Times New Roman"/>
          <w:b w:val="false"/>
          <w:i w:val="false"/>
          <w:color w:val="000000"/>
          <w:sz w:val="28"/>
        </w:rPr>
        <w:t>
      7) городское пространство – это социально-культурная среда существования горожан и инфраструктуры города;</w:t>
      </w:r>
    </w:p>
    <w:p>
      <w:pPr>
        <w:spacing w:after="0"/>
        <w:ind w:left="0"/>
        <w:jc w:val="both"/>
      </w:pPr>
      <w:r>
        <w:rPr>
          <w:rFonts w:ascii="Times New Roman"/>
          <w:b w:val="false"/>
          <w:i w:val="false"/>
          <w:color w:val="000000"/>
          <w:sz w:val="28"/>
        </w:rPr>
        <w:t>
      8) вывеска – информация о наименовании и роде деятельности физических и юридических лиц, включая средства их индивидуализации, размещаемая в пределах входа в здание по числу входов в него и (или) на входе ограждения занимаемой территории, а также крышах и фасадах в пределах зданий, пристроек к ним и временных сооружений физических и юридических лиц в местах их фактического нахождения и реализации товаров, выполнения работ и оказания услуг;</w:t>
      </w:r>
    </w:p>
    <w:p>
      <w:pPr>
        <w:spacing w:after="0"/>
        <w:ind w:left="0"/>
        <w:jc w:val="both"/>
      </w:pPr>
      <w:r>
        <w:rPr>
          <w:rFonts w:ascii="Times New Roman"/>
          <w:b w:val="false"/>
          <w:i w:val="false"/>
          <w:color w:val="000000"/>
          <w:sz w:val="28"/>
        </w:rPr>
        <w:t>
      9) адресная табличка – табличка, размещаемая на фасаде здания, с указанием его номера и названия улицы;</w:t>
      </w:r>
    </w:p>
    <w:p>
      <w:pPr>
        <w:spacing w:after="0"/>
        <w:ind w:left="0"/>
        <w:jc w:val="both"/>
      </w:pPr>
      <w:r>
        <w:rPr>
          <w:rFonts w:ascii="Times New Roman"/>
          <w:b w:val="false"/>
          <w:i w:val="false"/>
          <w:color w:val="000000"/>
          <w:sz w:val="28"/>
        </w:rPr>
        <w:t>
      10) муралы (граффити, стрит-арт) – искусство, изображение или надписи, нарисованные, выцарапанные или написанные красками либо чернилами на стенах фасадов зданий и других поверхностях городского пространства;</w:t>
      </w:r>
    </w:p>
    <w:p>
      <w:pPr>
        <w:spacing w:after="0"/>
        <w:ind w:left="0"/>
        <w:jc w:val="both"/>
      </w:pPr>
      <w:r>
        <w:rPr>
          <w:rFonts w:ascii="Times New Roman"/>
          <w:b w:val="false"/>
          <w:i w:val="false"/>
          <w:color w:val="000000"/>
          <w:sz w:val="28"/>
        </w:rPr>
        <w:t>
      11) указатель – конструкция размером до двух квадратных метров включительно, размещенная на земле или опорах контактной сети и освещения, указывающая место нахождения организации, торгового или иного объекта и расположенная в непосредственной близости от них, содержащая исключительно информацию об их наименовании, средстве индивидуализации (при наличии) и навигации;</w:t>
      </w:r>
    </w:p>
    <w:p>
      <w:pPr>
        <w:spacing w:after="0"/>
        <w:ind w:left="0"/>
        <w:jc w:val="both"/>
      </w:pPr>
      <w:r>
        <w:rPr>
          <w:rFonts w:ascii="Times New Roman"/>
          <w:b w:val="false"/>
          <w:i w:val="false"/>
          <w:color w:val="000000"/>
          <w:sz w:val="28"/>
        </w:rPr>
        <w:t>
      12) подложка – декоративная рамка для основания вывески;</w:t>
      </w:r>
    </w:p>
    <w:p>
      <w:pPr>
        <w:spacing w:after="0"/>
        <w:ind w:left="0"/>
        <w:jc w:val="both"/>
      </w:pPr>
      <w:r>
        <w:rPr>
          <w:rFonts w:ascii="Times New Roman"/>
          <w:b w:val="false"/>
          <w:i w:val="false"/>
          <w:color w:val="000000"/>
          <w:sz w:val="28"/>
        </w:rPr>
        <w:t>
      13) архитектурно-ландшафтная среда - пространство с сочетанием природных условий и архитектурных форм, в котором человек осуществляет хозяйственную деятельность. Как правило, это среда населенных пунктов, которая определяет условия жизни и психофизическое состояние человека;</w:t>
      </w:r>
    </w:p>
    <w:p>
      <w:pPr>
        <w:spacing w:after="0"/>
        <w:ind w:left="0"/>
        <w:jc w:val="both"/>
      </w:pPr>
      <w:r>
        <w:rPr>
          <w:rFonts w:ascii="Times New Roman"/>
          <w:b w:val="false"/>
          <w:i w:val="false"/>
          <w:color w:val="000000"/>
          <w:sz w:val="28"/>
        </w:rPr>
        <w:t>
      14) нестационарный торговый объект – временное сооружение или временная конструкция, непрочно связанные с землей вне зависимости от наличия или отсутствия подключения (технологического присоединения) к сетям инженерно-технического обеспечения, в том числе автоматизированное устройство или транспортное средство;</w:t>
      </w:r>
    </w:p>
    <w:p>
      <w:pPr>
        <w:spacing w:after="0"/>
        <w:ind w:left="0"/>
        <w:jc w:val="both"/>
      </w:pPr>
      <w:r>
        <w:rPr>
          <w:rFonts w:ascii="Times New Roman"/>
          <w:b w:val="false"/>
          <w:i w:val="false"/>
          <w:color w:val="000000"/>
          <w:sz w:val="28"/>
        </w:rPr>
        <w:t>
      15) уполномоченный орган – это структурное подразделение акимата города Туркестан, в функции которого входит реализация требований Дизайн-кода;</w:t>
      </w:r>
    </w:p>
    <w:p>
      <w:pPr>
        <w:spacing w:after="0"/>
        <w:ind w:left="0"/>
        <w:jc w:val="both"/>
      </w:pPr>
      <w:r>
        <w:rPr>
          <w:rFonts w:ascii="Times New Roman"/>
          <w:b w:val="false"/>
          <w:i w:val="false"/>
          <w:color w:val="000000"/>
          <w:sz w:val="28"/>
        </w:rPr>
        <w:t>
      16) фриз – горизонтальный плоский участок фасада, подходящий для размещения вывесок. Как правило, располагается над окнами первых этажей, в верхней части фасада малоэтажного здания или на козырьке входной группы;</w:t>
      </w:r>
    </w:p>
    <w:p>
      <w:pPr>
        <w:spacing w:after="0"/>
        <w:ind w:left="0"/>
        <w:jc w:val="both"/>
      </w:pPr>
      <w:r>
        <w:rPr>
          <w:rFonts w:ascii="Times New Roman"/>
          <w:b w:val="false"/>
          <w:i w:val="false"/>
          <w:color w:val="000000"/>
          <w:sz w:val="28"/>
        </w:rPr>
        <w:t>
      17) штендер – выносная информационная конструкция.</w:t>
      </w:r>
    </w:p>
    <w:bookmarkStart w:name="z7" w:id="5"/>
    <w:p>
      <w:pPr>
        <w:spacing w:after="0"/>
        <w:ind w:left="0"/>
        <w:jc w:val="left"/>
      </w:pPr>
      <w:r>
        <w:rPr>
          <w:rFonts w:ascii="Times New Roman"/>
          <w:b/>
          <w:i w:val="false"/>
          <w:color w:val="000000"/>
        </w:rPr>
        <w:t xml:space="preserve"> Глава 2. Основные требования</w:t>
      </w:r>
    </w:p>
    <w:bookmarkEnd w:id="5"/>
    <w:p>
      <w:pPr>
        <w:spacing w:after="0"/>
        <w:ind w:left="0"/>
        <w:jc w:val="both"/>
      </w:pPr>
      <w:r>
        <w:rPr>
          <w:rFonts w:ascii="Times New Roman"/>
          <w:b w:val="false"/>
          <w:i w:val="false"/>
          <w:color w:val="000000"/>
          <w:sz w:val="28"/>
        </w:rPr>
        <w:t>
      3. Дизайн-код включает в себя требования формирования архитектурно-ландшафтной среды, оформления концепции внешнего облика улиц, магистралей, туристских маршрутов, других территорий города и размещения элементов благоустройства, а также требования по оформлению фасадов зданий и сооружений.</w:t>
      </w:r>
    </w:p>
    <w:p>
      <w:pPr>
        <w:spacing w:after="0"/>
        <w:ind w:left="0"/>
        <w:jc w:val="both"/>
      </w:pPr>
      <w:r>
        <w:rPr>
          <w:rFonts w:ascii="Times New Roman"/>
          <w:b w:val="false"/>
          <w:i w:val="false"/>
          <w:color w:val="000000"/>
          <w:sz w:val="28"/>
        </w:rPr>
        <w:t>
      В границах исторического центра (установленных действующим Генеральным планом города Туркестан), а также охранных зонах памятников истории и культуры подлежат сохранению все градостроительные объекты и их характеристики, культурная и историческая ценность.</w:t>
      </w:r>
    </w:p>
    <w:p>
      <w:pPr>
        <w:spacing w:after="0"/>
        <w:ind w:left="0"/>
        <w:jc w:val="both"/>
      </w:pPr>
      <w:r>
        <w:rPr>
          <w:rFonts w:ascii="Times New Roman"/>
          <w:b w:val="false"/>
          <w:i w:val="false"/>
          <w:color w:val="000000"/>
          <w:sz w:val="28"/>
        </w:rPr>
        <w:t>
      4. Дизайн-код регулирует отношения, возникающие между государственными органами, организациями всех форм собственности в процессе осуществления архитектурной, градостроительной и строительной деятельности на территории города Туркестан, и направлен на формирование комфортной и безопасной городской среды, основные модели территориального планирования и требования к организации планировочной структуры.</w:t>
      </w:r>
    </w:p>
    <w:bookmarkStart w:name="z8" w:id="6"/>
    <w:p>
      <w:pPr>
        <w:spacing w:after="0"/>
        <w:ind w:left="0"/>
        <w:jc w:val="left"/>
      </w:pPr>
      <w:r>
        <w:rPr>
          <w:rFonts w:ascii="Times New Roman"/>
          <w:b/>
          <w:i w:val="false"/>
          <w:color w:val="000000"/>
        </w:rPr>
        <w:t xml:space="preserve"> Глава 3. Наружная (визуальная) информация</w:t>
      </w:r>
    </w:p>
    <w:bookmarkEnd w:id="6"/>
    <w:p>
      <w:pPr>
        <w:spacing w:after="0"/>
        <w:ind w:left="0"/>
        <w:jc w:val="both"/>
      </w:pPr>
      <w:r>
        <w:rPr>
          <w:rFonts w:ascii="Times New Roman"/>
          <w:b w:val="false"/>
          <w:i w:val="false"/>
          <w:color w:val="000000"/>
          <w:sz w:val="28"/>
        </w:rPr>
        <w:t>
      5. Единая гамма цветовой палитры города применяется ко всем элементам городской среды, отделочных материалов зданий, вывесок и информационных сооружений, элементам благоустройства территорий, уличной мебели, нестационарным торговым объектам, велопарковкам, ограждениям, а также инженерным сооружениям.</w:t>
      </w:r>
    </w:p>
    <w:p>
      <w:pPr>
        <w:spacing w:after="0"/>
        <w:ind w:left="0"/>
        <w:jc w:val="both"/>
      </w:pPr>
      <w:r>
        <w:rPr>
          <w:rFonts w:ascii="Times New Roman"/>
          <w:b w:val="false"/>
          <w:i w:val="false"/>
          <w:color w:val="000000"/>
          <w:sz w:val="28"/>
        </w:rPr>
        <w:t>
      6. При оформлении фасадов зданий и сооружений, не допускается использование цветовых решений, несвойственных архитектурному стилю.</w:t>
      </w:r>
    </w:p>
    <w:p>
      <w:pPr>
        <w:spacing w:after="0"/>
        <w:ind w:left="0"/>
        <w:jc w:val="both"/>
      </w:pPr>
      <w:r>
        <w:rPr>
          <w:rFonts w:ascii="Times New Roman"/>
          <w:b w:val="false"/>
          <w:i w:val="false"/>
          <w:color w:val="000000"/>
          <w:sz w:val="28"/>
        </w:rPr>
        <w:t>
      7. Цвета и отделочные материалы нежилых помещений первых и вторых этажей зданий, должны соответствовать архитектурному стилю фасадов и не нарушать целостность восприятия архитектуры здания.</w:t>
      </w:r>
    </w:p>
    <w:p>
      <w:pPr>
        <w:spacing w:after="0"/>
        <w:ind w:left="0"/>
        <w:jc w:val="both"/>
      </w:pPr>
      <w:r>
        <w:rPr>
          <w:rFonts w:ascii="Times New Roman"/>
          <w:b w:val="false"/>
          <w:i w:val="false"/>
          <w:color w:val="000000"/>
          <w:sz w:val="28"/>
        </w:rPr>
        <w:t>
      8. Декоративные элементы на зданиях, представляющих историческую и архитектурную ценность, должны восстанавливаться согласно историческому облику.</w:t>
      </w:r>
    </w:p>
    <w:p>
      <w:pPr>
        <w:spacing w:after="0"/>
        <w:ind w:left="0"/>
        <w:jc w:val="both"/>
      </w:pPr>
      <w:r>
        <w:rPr>
          <w:rFonts w:ascii="Times New Roman"/>
          <w:b w:val="false"/>
          <w:i w:val="false"/>
          <w:color w:val="000000"/>
          <w:sz w:val="28"/>
        </w:rPr>
        <w:t>
      9. Вывески и информационные сооружения на зданиях и сооружениях должны гармонизировать с архитектурным стилем фасада и окружающей городской среды.</w:t>
      </w:r>
    </w:p>
    <w:p>
      <w:pPr>
        <w:spacing w:after="0"/>
        <w:ind w:left="0"/>
        <w:jc w:val="both"/>
      </w:pPr>
      <w:r>
        <w:rPr>
          <w:rFonts w:ascii="Times New Roman"/>
          <w:b w:val="false"/>
          <w:i w:val="false"/>
          <w:color w:val="000000"/>
          <w:sz w:val="28"/>
        </w:rPr>
        <w:t>
      10. Установка вывесок осуществляется по согласованию с уполномоченным органом, путем направления уведомления с приложением эскиза до фактической даты установки.</w:t>
      </w:r>
    </w:p>
    <w:p>
      <w:pPr>
        <w:spacing w:after="0"/>
        <w:ind w:left="0"/>
        <w:jc w:val="both"/>
      </w:pPr>
      <w:r>
        <w:rPr>
          <w:rFonts w:ascii="Times New Roman"/>
          <w:b w:val="false"/>
          <w:i w:val="false"/>
          <w:color w:val="000000"/>
          <w:sz w:val="28"/>
        </w:rPr>
        <w:t>
      11. Вывески устанавливаются на фризах, над входной группой (по числу входов), по оси дверного полотна в соответствии с Приложением 1 к Дизайн-коду.</w:t>
      </w:r>
    </w:p>
    <w:p>
      <w:pPr>
        <w:spacing w:after="0"/>
        <w:ind w:left="0"/>
        <w:jc w:val="both"/>
      </w:pPr>
      <w:r>
        <w:rPr>
          <w:rFonts w:ascii="Times New Roman"/>
          <w:b w:val="false"/>
          <w:i w:val="false"/>
          <w:color w:val="000000"/>
          <w:sz w:val="28"/>
        </w:rPr>
        <w:t>
      12. Вывески и информационные сооружения на фасадах зданий и сооружений выполняются из дерева с пропиткой, металла, пластика и композитных материалов.</w:t>
      </w:r>
    </w:p>
    <w:p>
      <w:pPr>
        <w:spacing w:after="0"/>
        <w:ind w:left="0"/>
        <w:jc w:val="both"/>
      </w:pPr>
      <w:r>
        <w:rPr>
          <w:rFonts w:ascii="Times New Roman"/>
          <w:b w:val="false"/>
          <w:i w:val="false"/>
          <w:color w:val="000000"/>
          <w:sz w:val="28"/>
        </w:rPr>
        <w:t>
      13. Вывески и информационные сооружения на фасадах зданий и сооружений в формате световых коробов, выполняются из пластика, оргстекла и/или поликарбоната.</w:t>
      </w:r>
    </w:p>
    <w:p>
      <w:pPr>
        <w:spacing w:after="0"/>
        <w:ind w:left="0"/>
        <w:jc w:val="both"/>
      </w:pPr>
      <w:r>
        <w:rPr>
          <w:rFonts w:ascii="Times New Roman"/>
          <w:b w:val="false"/>
          <w:i w:val="false"/>
          <w:color w:val="000000"/>
          <w:sz w:val="28"/>
        </w:rPr>
        <w:t>
      Световой короб должен плотно прилегать к плоскости фасада здания или сооружения. Торцы короба необходимо окрашивать в цвет фасада.</w:t>
      </w:r>
    </w:p>
    <w:p>
      <w:pPr>
        <w:spacing w:after="0"/>
        <w:ind w:left="0"/>
        <w:jc w:val="both"/>
      </w:pPr>
      <w:r>
        <w:rPr>
          <w:rFonts w:ascii="Times New Roman"/>
          <w:b w:val="false"/>
          <w:i w:val="false"/>
          <w:color w:val="000000"/>
          <w:sz w:val="28"/>
        </w:rPr>
        <w:t>
      14. При выполнении объемных букв с внутренней подсветкой, размер толщины букв необходимо устанавливать одну вторую от толщины основного штриха шрифта.</w:t>
      </w:r>
    </w:p>
    <w:p>
      <w:pPr>
        <w:spacing w:after="0"/>
        <w:ind w:left="0"/>
        <w:jc w:val="both"/>
      </w:pPr>
      <w:r>
        <w:rPr>
          <w:rFonts w:ascii="Times New Roman"/>
          <w:b w:val="false"/>
          <w:i w:val="false"/>
          <w:color w:val="000000"/>
          <w:sz w:val="28"/>
        </w:rPr>
        <w:t>
      15. Вывески и информационные сооружения организаций расположенных в подвальных и цокольных этажах размещаются над входной группой по оси дверного полотна или на козырьках лестничных пролетов согласно Приложению 2 к Дизайн-коду.</w:t>
      </w:r>
    </w:p>
    <w:p>
      <w:pPr>
        <w:spacing w:after="0"/>
        <w:ind w:left="0"/>
        <w:jc w:val="both"/>
      </w:pPr>
      <w:r>
        <w:rPr>
          <w:rFonts w:ascii="Times New Roman"/>
          <w:b w:val="false"/>
          <w:i w:val="false"/>
          <w:color w:val="000000"/>
          <w:sz w:val="28"/>
        </w:rPr>
        <w:t>
      Информационные таблички размещаются на высоте не менее 0,8 метра от дверного порога, без использования подложки и светового короба.</w:t>
      </w:r>
    </w:p>
    <w:p>
      <w:pPr>
        <w:spacing w:after="0"/>
        <w:ind w:left="0"/>
        <w:jc w:val="both"/>
      </w:pPr>
      <w:r>
        <w:rPr>
          <w:rFonts w:ascii="Times New Roman"/>
          <w:b w:val="false"/>
          <w:i w:val="false"/>
          <w:color w:val="000000"/>
          <w:sz w:val="28"/>
        </w:rPr>
        <w:t>
      16. Вывески и информационные сооружения организаций, за исключением государственных органов, расположенных на первых этажах зданий размещаются над входом в помещение по центральной оси дверного проема и по оси фриза или карниза, на высоте не менее 2,5 метров и не более 4,5 метров от дверного порога, на одном уровне со смежными вывесками.</w:t>
      </w:r>
    </w:p>
    <w:p>
      <w:pPr>
        <w:spacing w:after="0"/>
        <w:ind w:left="0"/>
        <w:jc w:val="both"/>
      </w:pPr>
      <w:r>
        <w:rPr>
          <w:rFonts w:ascii="Times New Roman"/>
          <w:b w:val="false"/>
          <w:i w:val="false"/>
          <w:color w:val="000000"/>
          <w:sz w:val="28"/>
        </w:rPr>
        <w:t>
      17. Вывески организаций расположенных на вторых этажах зданий не устанавливаются с подложкой, с использованием светового короба, в виде панели-кронштейн и таблички, на высоте от верхней оси оконного проема менее 0,4 метра и более 0,6 метра в соответствии с Приложением 3 к Дизайн-коду. Информационные сооружения не размещаются выше уровня второго этажа зданий, за исключением случаев предусмотренных Дизайн-кодом.</w:t>
      </w:r>
    </w:p>
    <w:p>
      <w:pPr>
        <w:spacing w:after="0"/>
        <w:ind w:left="0"/>
        <w:jc w:val="both"/>
      </w:pPr>
      <w:r>
        <w:rPr>
          <w:rFonts w:ascii="Times New Roman"/>
          <w:b w:val="false"/>
          <w:i w:val="false"/>
          <w:color w:val="000000"/>
          <w:sz w:val="28"/>
        </w:rPr>
        <w:t>
      18. Вывески и информационные сооружения организаций, за исключением государственных органов, расположенных в пристройках и отдельно стоящих зданиях размещаются над входом в помещение по центральной оси дверного проема и по оси фриза или карниза.</w:t>
      </w:r>
    </w:p>
    <w:p>
      <w:pPr>
        <w:spacing w:after="0"/>
        <w:ind w:left="0"/>
        <w:jc w:val="both"/>
      </w:pPr>
      <w:r>
        <w:rPr>
          <w:rFonts w:ascii="Times New Roman"/>
          <w:b w:val="false"/>
          <w:i w:val="false"/>
          <w:color w:val="000000"/>
          <w:sz w:val="28"/>
        </w:rPr>
        <w:t>
      19. Вывески и информационные сооружения организаций, за исключением государственных органов, расположенных в торговых и многофункциональных центрах размещаются над входными группами, на глухих стенах фасадов, не перекрывая оконные проемы и балконы, а также не нарушая архитектурный облик зданий согласно Приложению 4 к Дизайн-коду.</w:t>
      </w:r>
    </w:p>
    <w:p>
      <w:pPr>
        <w:spacing w:after="0"/>
        <w:ind w:left="0"/>
        <w:jc w:val="both"/>
      </w:pPr>
      <w:r>
        <w:rPr>
          <w:rFonts w:ascii="Times New Roman"/>
          <w:b w:val="false"/>
          <w:i w:val="false"/>
          <w:color w:val="000000"/>
          <w:sz w:val="28"/>
        </w:rPr>
        <w:t>
      20. Размещение вывесок и информационных сооружений не допускается:</w:t>
      </w:r>
    </w:p>
    <w:p>
      <w:pPr>
        <w:spacing w:after="0"/>
        <w:ind w:left="0"/>
        <w:jc w:val="both"/>
      </w:pPr>
      <w:r>
        <w:rPr>
          <w:rFonts w:ascii="Times New Roman"/>
          <w:b w:val="false"/>
          <w:i w:val="false"/>
          <w:color w:val="000000"/>
          <w:sz w:val="28"/>
        </w:rPr>
        <w:t>
      1) за пределами входной группы в помещение, за исключением крышных и фасадных установок на нежилых объектах;</w:t>
      </w:r>
    </w:p>
    <w:p>
      <w:pPr>
        <w:spacing w:after="0"/>
        <w:ind w:left="0"/>
        <w:jc w:val="both"/>
      </w:pPr>
      <w:r>
        <w:rPr>
          <w:rFonts w:ascii="Times New Roman"/>
          <w:b w:val="false"/>
          <w:i w:val="false"/>
          <w:color w:val="000000"/>
          <w:sz w:val="28"/>
        </w:rPr>
        <w:t>
      2) с использованием электронных табло (за исключением крышных и фасадных установок), либо бегущих строк;</w:t>
      </w:r>
    </w:p>
    <w:p>
      <w:pPr>
        <w:spacing w:after="0"/>
        <w:ind w:left="0"/>
        <w:jc w:val="both"/>
      </w:pPr>
      <w:r>
        <w:rPr>
          <w:rFonts w:ascii="Times New Roman"/>
          <w:b w:val="false"/>
          <w:i w:val="false"/>
          <w:color w:val="000000"/>
          <w:sz w:val="28"/>
        </w:rPr>
        <w:t>
      3) на ограждениях и плитах балконов, на лоджиях и эркерах;</w:t>
      </w:r>
    </w:p>
    <w:p>
      <w:pPr>
        <w:spacing w:after="0"/>
        <w:ind w:left="0"/>
        <w:jc w:val="both"/>
      </w:pPr>
      <w:r>
        <w:rPr>
          <w:rFonts w:ascii="Times New Roman"/>
          <w:b w:val="false"/>
          <w:i w:val="false"/>
          <w:color w:val="000000"/>
          <w:sz w:val="28"/>
        </w:rPr>
        <w:t>
      4) путем перекрытия архитектурных элементов и облика здания;</w:t>
      </w:r>
    </w:p>
    <w:p>
      <w:pPr>
        <w:spacing w:after="0"/>
        <w:ind w:left="0"/>
        <w:jc w:val="both"/>
      </w:pPr>
      <w:r>
        <w:rPr>
          <w:rFonts w:ascii="Times New Roman"/>
          <w:b w:val="false"/>
          <w:i w:val="false"/>
          <w:color w:val="000000"/>
          <w:sz w:val="28"/>
        </w:rPr>
        <w:t>
      5) на оконных проемах и витринах, перекрывая площадь более 30% проема;</w:t>
      </w:r>
    </w:p>
    <w:p>
      <w:pPr>
        <w:spacing w:after="0"/>
        <w:ind w:left="0"/>
        <w:jc w:val="both"/>
      </w:pPr>
      <w:r>
        <w:rPr>
          <w:rFonts w:ascii="Times New Roman"/>
          <w:b w:val="false"/>
          <w:i w:val="false"/>
          <w:color w:val="000000"/>
          <w:sz w:val="28"/>
        </w:rPr>
        <w:t>
      6) с выступом за боковые пределы фасада и плоскости фасада;</w:t>
      </w:r>
    </w:p>
    <w:p>
      <w:pPr>
        <w:spacing w:after="0"/>
        <w:ind w:left="0"/>
        <w:jc w:val="both"/>
      </w:pPr>
      <w:r>
        <w:rPr>
          <w:rFonts w:ascii="Times New Roman"/>
          <w:b w:val="false"/>
          <w:i w:val="false"/>
          <w:color w:val="000000"/>
          <w:sz w:val="28"/>
        </w:rPr>
        <w:t>
      7) в пределах входов подъездов жилых домов;</w:t>
      </w:r>
    </w:p>
    <w:p>
      <w:pPr>
        <w:spacing w:after="0"/>
        <w:ind w:left="0"/>
        <w:jc w:val="both"/>
      </w:pPr>
      <w:r>
        <w:rPr>
          <w:rFonts w:ascii="Times New Roman"/>
          <w:b w:val="false"/>
          <w:i w:val="false"/>
          <w:color w:val="000000"/>
          <w:sz w:val="28"/>
        </w:rPr>
        <w:t>
      8) в вертикальном направлении;</w:t>
      </w:r>
    </w:p>
    <w:p>
      <w:pPr>
        <w:spacing w:after="0"/>
        <w:ind w:left="0"/>
        <w:jc w:val="both"/>
      </w:pPr>
      <w:r>
        <w:rPr>
          <w:rFonts w:ascii="Times New Roman"/>
          <w:b w:val="false"/>
          <w:i w:val="false"/>
          <w:color w:val="000000"/>
          <w:sz w:val="28"/>
        </w:rPr>
        <w:t>
      9) в количестве более 1 (одной) единицы по числу входов.</w:t>
      </w:r>
    </w:p>
    <w:p>
      <w:pPr>
        <w:spacing w:after="0"/>
        <w:ind w:left="0"/>
        <w:jc w:val="both"/>
      </w:pPr>
      <w:r>
        <w:rPr>
          <w:rFonts w:ascii="Times New Roman"/>
          <w:b w:val="false"/>
          <w:i w:val="false"/>
          <w:color w:val="000000"/>
          <w:sz w:val="28"/>
        </w:rPr>
        <w:t>
      21. Информационные таблички необходимо размещать в пределах входных групп организаций, на высоте не менее 0,8 метров от уровня нижнего края дверного полотна.</w:t>
      </w:r>
    </w:p>
    <w:p>
      <w:pPr>
        <w:spacing w:after="0"/>
        <w:ind w:left="0"/>
        <w:jc w:val="both"/>
      </w:pPr>
      <w:r>
        <w:rPr>
          <w:rFonts w:ascii="Times New Roman"/>
          <w:b w:val="false"/>
          <w:i w:val="false"/>
          <w:color w:val="000000"/>
          <w:sz w:val="28"/>
        </w:rPr>
        <w:t>
      22. Вывеска на нестационарном торговом объекте устанавливается в специально отведенном месте фасадной части, в количестве не более 1 (одной) единицы.</w:t>
      </w:r>
    </w:p>
    <w:p>
      <w:pPr>
        <w:spacing w:after="0"/>
        <w:ind w:left="0"/>
        <w:jc w:val="both"/>
      </w:pPr>
      <w:r>
        <w:rPr>
          <w:rFonts w:ascii="Times New Roman"/>
          <w:b w:val="false"/>
          <w:i w:val="false"/>
          <w:color w:val="000000"/>
          <w:sz w:val="28"/>
        </w:rPr>
        <w:t>
      23. Реконструкция остановок общественного транспорта проводится по согласованию с уполномоченным органом.</w:t>
      </w:r>
    </w:p>
    <w:p>
      <w:pPr>
        <w:spacing w:after="0"/>
        <w:ind w:left="0"/>
        <w:jc w:val="both"/>
      </w:pPr>
      <w:r>
        <w:rPr>
          <w:rFonts w:ascii="Times New Roman"/>
          <w:b w:val="false"/>
          <w:i w:val="false"/>
          <w:color w:val="000000"/>
          <w:sz w:val="28"/>
        </w:rPr>
        <w:t>
      24. Указатели устанавливаются в количестве не более 1 (одной) единицы и на расстоянии не более 15 (пятнадцати) метров от входной группы. Габариты указателя составляют - длина 1,5 метра и ширина 0,9 метра.</w:t>
      </w:r>
    </w:p>
    <w:p>
      <w:pPr>
        <w:spacing w:after="0"/>
        <w:ind w:left="0"/>
        <w:jc w:val="both"/>
      </w:pPr>
      <w:r>
        <w:rPr>
          <w:rFonts w:ascii="Times New Roman"/>
          <w:b w:val="false"/>
          <w:i w:val="false"/>
          <w:color w:val="000000"/>
          <w:sz w:val="28"/>
        </w:rPr>
        <w:t>
      25. Штендер устанавливается на расстоянии не более 5 (пяти) метров от входной группы.</w:t>
      </w:r>
    </w:p>
    <w:p>
      <w:pPr>
        <w:spacing w:after="0"/>
        <w:ind w:left="0"/>
        <w:jc w:val="both"/>
      </w:pPr>
      <w:r>
        <w:rPr>
          <w:rFonts w:ascii="Times New Roman"/>
          <w:b w:val="false"/>
          <w:i w:val="false"/>
          <w:color w:val="000000"/>
          <w:sz w:val="28"/>
        </w:rPr>
        <w:t>
      Штендеры должны соответствовать профилю организации и быть оформлены в цветах фирменного стиля.</w:t>
      </w:r>
    </w:p>
    <w:p>
      <w:pPr>
        <w:spacing w:after="0"/>
        <w:ind w:left="0"/>
        <w:jc w:val="both"/>
      </w:pPr>
      <w:r>
        <w:rPr>
          <w:rFonts w:ascii="Times New Roman"/>
          <w:b w:val="false"/>
          <w:i w:val="false"/>
          <w:color w:val="000000"/>
          <w:sz w:val="28"/>
        </w:rPr>
        <w:t>
      Штендеры устанавливаются на газоне или на тротуаре, не создавая препятствия проходу пешеходов.</w:t>
      </w:r>
    </w:p>
    <w:p>
      <w:pPr>
        <w:spacing w:after="0"/>
        <w:ind w:left="0"/>
        <w:jc w:val="both"/>
      </w:pPr>
      <w:r>
        <w:rPr>
          <w:rFonts w:ascii="Times New Roman"/>
          <w:b w:val="false"/>
          <w:i w:val="false"/>
          <w:color w:val="000000"/>
          <w:sz w:val="28"/>
        </w:rPr>
        <w:t>
      26. Установка вывесок и информационных сооружений в виде надкрышных установок (светодинамические панно или объемные неоновые буквы) производится в соответствии с Приказом Министра национальной экономики Республики Казахстан от 30 ноября 2015 года № 750 "Об утверждении правил организации застройки и прохождения разрешительных процедур в сфере строительства" зарегистрированный в Министерстве юстиции Республики Казахстан 30 декабря 2015 года за №12684.</w:t>
      </w:r>
    </w:p>
    <w:p>
      <w:pPr>
        <w:spacing w:after="0"/>
        <w:ind w:left="0"/>
        <w:jc w:val="both"/>
      </w:pPr>
      <w:r>
        <w:rPr>
          <w:rFonts w:ascii="Times New Roman"/>
          <w:b w:val="false"/>
          <w:i w:val="false"/>
          <w:color w:val="000000"/>
          <w:sz w:val="28"/>
        </w:rPr>
        <w:t>
      Надкрышные установки выполняются из металла, пластика, оргстекла, поликарбоната, композитных материалов.</w:t>
      </w:r>
    </w:p>
    <w:p>
      <w:pPr>
        <w:spacing w:after="0"/>
        <w:ind w:left="0"/>
        <w:jc w:val="both"/>
      </w:pPr>
      <w:r>
        <w:rPr>
          <w:rFonts w:ascii="Times New Roman"/>
          <w:b w:val="false"/>
          <w:i w:val="false"/>
          <w:color w:val="000000"/>
          <w:sz w:val="28"/>
        </w:rPr>
        <w:t>
      Надкрышные установки выполняются из отдельно стоящих букв без подложки с внутренней подсветкой. Каркас и элементы монтажа окрашиваются в темно-серый цвет.</w:t>
      </w:r>
    </w:p>
    <w:p>
      <w:pPr>
        <w:spacing w:after="0"/>
        <w:ind w:left="0"/>
        <w:jc w:val="both"/>
      </w:pPr>
      <w:r>
        <w:rPr>
          <w:rFonts w:ascii="Times New Roman"/>
          <w:b w:val="false"/>
          <w:i w:val="false"/>
          <w:color w:val="000000"/>
          <w:sz w:val="28"/>
        </w:rPr>
        <w:t>
      27. Не допускается сплошное перекрытие фасадов декоративными и информационными панелями или баннерами.</w:t>
      </w:r>
    </w:p>
    <w:p>
      <w:pPr>
        <w:spacing w:after="0"/>
        <w:ind w:left="0"/>
        <w:jc w:val="both"/>
      </w:pPr>
      <w:r>
        <w:rPr>
          <w:rFonts w:ascii="Times New Roman"/>
          <w:b w:val="false"/>
          <w:i w:val="false"/>
          <w:color w:val="000000"/>
          <w:sz w:val="28"/>
        </w:rPr>
        <w:t>
      28. Установка вывесок, информационных сооружений и других информационных материалов на фасадах зданий и сооружений (кроме объектов жилищного строительства), распространяемых посредством видеоизображений и статичных изображений допускаются только на глухих торцах зданий и сооружений.</w:t>
      </w:r>
    </w:p>
    <w:bookmarkStart w:name="z9" w:id="7"/>
    <w:p>
      <w:pPr>
        <w:spacing w:after="0"/>
        <w:ind w:left="0"/>
        <w:jc w:val="left"/>
      </w:pPr>
      <w:r>
        <w:rPr>
          <w:rFonts w:ascii="Times New Roman"/>
          <w:b/>
          <w:i w:val="false"/>
          <w:color w:val="000000"/>
        </w:rPr>
        <w:t xml:space="preserve"> Глава 4. Установка и оформление систем уличной навигации</w:t>
      </w:r>
    </w:p>
    <w:bookmarkEnd w:id="7"/>
    <w:p>
      <w:pPr>
        <w:spacing w:after="0"/>
        <w:ind w:left="0"/>
        <w:jc w:val="both"/>
      </w:pPr>
      <w:r>
        <w:rPr>
          <w:rFonts w:ascii="Times New Roman"/>
          <w:b w:val="false"/>
          <w:i w:val="false"/>
          <w:color w:val="000000"/>
          <w:sz w:val="28"/>
        </w:rPr>
        <w:t>
      29. Система уличной навигации размещается в местах с наиболее интенсивным пешеходным потоком и по пешеходным маршрутам (на перекрестках, вблизи остановок общественного транспорта).</w:t>
      </w:r>
    </w:p>
    <w:p>
      <w:pPr>
        <w:spacing w:after="0"/>
        <w:ind w:left="0"/>
        <w:jc w:val="both"/>
      </w:pPr>
      <w:r>
        <w:rPr>
          <w:rFonts w:ascii="Times New Roman"/>
          <w:b w:val="false"/>
          <w:i w:val="false"/>
          <w:color w:val="000000"/>
          <w:sz w:val="28"/>
        </w:rPr>
        <w:t>
      30. Объекты уличной навигации должны выполняться из материалов, устойчивых от выгорания под воздействием солнечных лучей.</w:t>
      </w:r>
    </w:p>
    <w:p>
      <w:pPr>
        <w:spacing w:after="0"/>
        <w:ind w:left="0"/>
        <w:jc w:val="both"/>
      </w:pPr>
      <w:r>
        <w:rPr>
          <w:rFonts w:ascii="Times New Roman"/>
          <w:b w:val="false"/>
          <w:i w:val="false"/>
          <w:color w:val="000000"/>
          <w:sz w:val="28"/>
        </w:rPr>
        <w:t>
      31. Не допускается использование объемных деталей, способствующих скоплению снега на объектах уличной навигации.</w:t>
      </w:r>
    </w:p>
    <w:p>
      <w:pPr>
        <w:spacing w:after="0"/>
        <w:ind w:left="0"/>
        <w:jc w:val="both"/>
      </w:pPr>
      <w:r>
        <w:rPr>
          <w:rFonts w:ascii="Times New Roman"/>
          <w:b w:val="false"/>
          <w:i w:val="false"/>
          <w:color w:val="000000"/>
          <w:sz w:val="28"/>
        </w:rPr>
        <w:t>
      32. На территории города Туркестан допускается установка уличной навигации в виде отдельно стоящих объектов (информационные стелы, флаговые указатели, цифровые стенды, указатели транспортной и пешеходной навигации), табличек на фасадах зданий и сооружений, навигацию, заложенную в мощении или покрытиях дорожек.</w:t>
      </w:r>
    </w:p>
    <w:p>
      <w:pPr>
        <w:spacing w:after="0"/>
        <w:ind w:left="0"/>
        <w:jc w:val="both"/>
      </w:pPr>
      <w:r>
        <w:rPr>
          <w:rFonts w:ascii="Times New Roman"/>
          <w:b w:val="false"/>
          <w:i w:val="false"/>
          <w:color w:val="000000"/>
          <w:sz w:val="28"/>
        </w:rPr>
        <w:t>
      33. Для отдельно стоящих объектов уличной навигации необходимо использование бетонного или чугунного фундамента, без выступа над уровнем земли с безопасным ударопрочным остеклением, изготовленным и соответствующим требованиям ГОСТ 30698-2014, с внутренней подсветкой, оборудованной системой аварийного отключения от сети электропитания и подземным подключением к электрическим сетям. Требования по остеклению не распространяются на объекты в виде экранов и электронного табло.</w:t>
      </w:r>
    </w:p>
    <w:p>
      <w:pPr>
        <w:spacing w:after="0"/>
        <w:ind w:left="0"/>
        <w:jc w:val="both"/>
      </w:pPr>
      <w:r>
        <w:rPr>
          <w:rFonts w:ascii="Times New Roman"/>
          <w:b w:val="false"/>
          <w:i w:val="false"/>
          <w:color w:val="000000"/>
          <w:sz w:val="28"/>
        </w:rPr>
        <w:t>
      34. Конструкции флаговых указателей, информационных стел и цифровых стендов пешеходной навигации выполняются согласно Приложению 5 к Дизайн-коду.</w:t>
      </w:r>
    </w:p>
    <w:p>
      <w:pPr>
        <w:spacing w:after="0"/>
        <w:ind w:left="0"/>
        <w:jc w:val="both"/>
      </w:pPr>
      <w:r>
        <w:rPr>
          <w:rFonts w:ascii="Times New Roman"/>
          <w:b w:val="false"/>
          <w:i w:val="false"/>
          <w:color w:val="000000"/>
          <w:sz w:val="28"/>
        </w:rPr>
        <w:t>
      35. Навигационные таблички, описывающие памятники, монументы, ландшафтные и природные объекты размещаются в непосредственной близости к этим объектам.</w:t>
      </w:r>
    </w:p>
    <w:p>
      <w:pPr>
        <w:spacing w:after="0"/>
        <w:ind w:left="0"/>
        <w:jc w:val="both"/>
      </w:pPr>
      <w:r>
        <w:rPr>
          <w:rFonts w:ascii="Times New Roman"/>
          <w:b w:val="false"/>
          <w:i w:val="false"/>
          <w:color w:val="000000"/>
          <w:sz w:val="28"/>
        </w:rPr>
        <w:t>
      36. Навигационные таблички устанавливаются на высоте и с углом падения (1,7 метра – 90 градусов, 1,2 метра – 60 градусов, 1 метр – 45 градусов и 0,8 метра – 30 градусов).</w:t>
      </w:r>
    </w:p>
    <w:p>
      <w:pPr>
        <w:spacing w:after="0"/>
        <w:ind w:left="0"/>
        <w:jc w:val="both"/>
      </w:pPr>
      <w:r>
        <w:rPr>
          <w:rFonts w:ascii="Times New Roman"/>
          <w:b w:val="false"/>
          <w:i w:val="false"/>
          <w:color w:val="000000"/>
          <w:sz w:val="28"/>
        </w:rPr>
        <w:t>
      37. Отдельно стоящие объекты уличной навигации не устанавливаются:</w:t>
      </w:r>
    </w:p>
    <w:p>
      <w:pPr>
        <w:spacing w:after="0"/>
        <w:ind w:left="0"/>
        <w:jc w:val="both"/>
      </w:pPr>
      <w:r>
        <w:rPr>
          <w:rFonts w:ascii="Times New Roman"/>
          <w:b w:val="false"/>
          <w:i w:val="false"/>
          <w:color w:val="000000"/>
          <w:sz w:val="28"/>
        </w:rPr>
        <w:t>
      1) на разделительных полосах автомобильных дорог, а также на участках земель, разделяющие смежные проезжие части дороги;</w:t>
      </w:r>
    </w:p>
    <w:p>
      <w:pPr>
        <w:spacing w:after="0"/>
        <w:ind w:left="0"/>
        <w:jc w:val="both"/>
      </w:pPr>
      <w:r>
        <w:rPr>
          <w:rFonts w:ascii="Times New Roman"/>
          <w:b w:val="false"/>
          <w:i w:val="false"/>
          <w:color w:val="000000"/>
          <w:sz w:val="28"/>
        </w:rPr>
        <w:t>
      2) перекрывая видимость движения автомобильного транспорта, пешеходов и остановок;</w:t>
      </w:r>
    </w:p>
    <w:p>
      <w:pPr>
        <w:spacing w:after="0"/>
        <w:ind w:left="0"/>
        <w:jc w:val="both"/>
      </w:pPr>
      <w:r>
        <w:rPr>
          <w:rFonts w:ascii="Times New Roman"/>
          <w:b w:val="false"/>
          <w:i w:val="false"/>
          <w:color w:val="000000"/>
          <w:sz w:val="28"/>
        </w:rPr>
        <w:t>
      3) на расстоянии менее 20 метров до разметок пешеходных переходов по направлению движения транспортного потока;</w:t>
      </w:r>
    </w:p>
    <w:p>
      <w:pPr>
        <w:spacing w:after="0"/>
        <w:ind w:left="0"/>
        <w:jc w:val="both"/>
      </w:pPr>
      <w:r>
        <w:rPr>
          <w:rFonts w:ascii="Times New Roman"/>
          <w:b w:val="false"/>
          <w:i w:val="false"/>
          <w:color w:val="000000"/>
          <w:sz w:val="28"/>
        </w:rPr>
        <w:t>
      4) на охранной зоне инженерных коммуникаций;</w:t>
      </w:r>
    </w:p>
    <w:p>
      <w:pPr>
        <w:spacing w:after="0"/>
        <w:ind w:left="0"/>
        <w:jc w:val="both"/>
      </w:pPr>
      <w:r>
        <w:rPr>
          <w:rFonts w:ascii="Times New Roman"/>
          <w:b w:val="false"/>
          <w:i w:val="false"/>
          <w:color w:val="000000"/>
          <w:sz w:val="28"/>
        </w:rPr>
        <w:t>
      5) на расстоянии менее 3 метров от деревьев;</w:t>
      </w:r>
    </w:p>
    <w:p>
      <w:pPr>
        <w:spacing w:after="0"/>
        <w:ind w:left="0"/>
        <w:jc w:val="both"/>
      </w:pPr>
      <w:r>
        <w:rPr>
          <w:rFonts w:ascii="Times New Roman"/>
          <w:b w:val="false"/>
          <w:i w:val="false"/>
          <w:color w:val="000000"/>
          <w:sz w:val="28"/>
        </w:rPr>
        <w:t>
      6) на расстоянии менее 1 метра от линий электропередачи осветительных сетей;</w:t>
      </w:r>
    </w:p>
    <w:p>
      <w:pPr>
        <w:spacing w:after="0"/>
        <w:ind w:left="0"/>
        <w:jc w:val="both"/>
      </w:pPr>
      <w:r>
        <w:rPr>
          <w:rFonts w:ascii="Times New Roman"/>
          <w:b w:val="false"/>
          <w:i w:val="false"/>
          <w:color w:val="000000"/>
          <w:sz w:val="28"/>
        </w:rPr>
        <w:t>
      7) на расстоянии менее 5 метров от входов в метро и подземных переходов, опор городских коммунальных сетей освещения, троллейбусных сетей и видеонаблюдения, светофоров;</w:t>
      </w:r>
    </w:p>
    <w:p>
      <w:pPr>
        <w:spacing w:after="0"/>
        <w:ind w:left="0"/>
        <w:jc w:val="both"/>
      </w:pPr>
      <w:r>
        <w:rPr>
          <w:rFonts w:ascii="Times New Roman"/>
          <w:b w:val="false"/>
          <w:i w:val="false"/>
          <w:color w:val="000000"/>
          <w:sz w:val="28"/>
        </w:rPr>
        <w:t>
      8) с использованием элементов, выходящих за пределы внешних габаритов;</w:t>
      </w:r>
    </w:p>
    <w:p>
      <w:pPr>
        <w:spacing w:after="0"/>
        <w:ind w:left="0"/>
        <w:jc w:val="both"/>
      </w:pPr>
      <w:r>
        <w:rPr>
          <w:rFonts w:ascii="Times New Roman"/>
          <w:b w:val="false"/>
          <w:i w:val="false"/>
          <w:color w:val="000000"/>
          <w:sz w:val="28"/>
        </w:rPr>
        <w:t>
      38. Адресные таблички устанавливаются на глухих фасадах зданий и сооружений на высоте между первыми и вторыми этажами. Габариты адресных табличек составляют высотой не более 0,5 метра и длиной не более 1,5 метра.</w:t>
      </w:r>
    </w:p>
    <w:p>
      <w:pPr>
        <w:spacing w:after="0"/>
        <w:ind w:left="0"/>
        <w:jc w:val="both"/>
      </w:pPr>
      <w:r>
        <w:rPr>
          <w:rFonts w:ascii="Times New Roman"/>
          <w:b w:val="false"/>
          <w:i w:val="false"/>
          <w:color w:val="000000"/>
          <w:sz w:val="28"/>
        </w:rPr>
        <w:t>
      39. Размер крупноформатной адресной таблички на глухом фасаде зданий и сооружений составляет высотой не более 3 метров и длиной 3 метра.</w:t>
      </w:r>
    </w:p>
    <w:bookmarkStart w:name="z10" w:id="8"/>
    <w:p>
      <w:pPr>
        <w:spacing w:after="0"/>
        <w:ind w:left="0"/>
        <w:jc w:val="left"/>
      </w:pPr>
      <w:r>
        <w:rPr>
          <w:rFonts w:ascii="Times New Roman"/>
          <w:b/>
          <w:i w:val="false"/>
          <w:color w:val="000000"/>
        </w:rPr>
        <w:t xml:space="preserve"> Глава 5. Установка и оформление уличной мебели</w:t>
      </w:r>
    </w:p>
    <w:bookmarkEnd w:id="8"/>
    <w:p>
      <w:pPr>
        <w:spacing w:after="0"/>
        <w:ind w:left="0"/>
        <w:jc w:val="both"/>
      </w:pPr>
      <w:r>
        <w:rPr>
          <w:rFonts w:ascii="Times New Roman"/>
          <w:b w:val="false"/>
          <w:i w:val="false"/>
          <w:color w:val="000000"/>
          <w:sz w:val="28"/>
        </w:rPr>
        <w:t>
      40. Дизайн уличной мебели должен соответствовать общему городскому облику, сочетаясь с архитектурным и ландшафтным стилем.</w:t>
      </w:r>
    </w:p>
    <w:p>
      <w:pPr>
        <w:spacing w:after="0"/>
        <w:ind w:left="0"/>
        <w:jc w:val="both"/>
      </w:pPr>
      <w:r>
        <w:rPr>
          <w:rFonts w:ascii="Times New Roman"/>
          <w:b w:val="false"/>
          <w:i w:val="false"/>
          <w:color w:val="000000"/>
          <w:sz w:val="28"/>
        </w:rPr>
        <w:t>
      41. Уличная мебель должна быть безопасной, выполняться из экологических и долговечных материалов в соответствии с Постановлением правительства Республики Казахстан от 17 ноября 2010 года № 1202 "Об утверждении технического регламента "Требования к безопасности зданий и сооружений, строительных материалов и изделий".</w:t>
      </w:r>
    </w:p>
    <w:p>
      <w:pPr>
        <w:spacing w:after="0"/>
        <w:ind w:left="0"/>
        <w:jc w:val="both"/>
      </w:pPr>
      <w:r>
        <w:rPr>
          <w:rFonts w:ascii="Times New Roman"/>
          <w:b w:val="false"/>
          <w:i w:val="false"/>
          <w:color w:val="000000"/>
          <w:sz w:val="28"/>
        </w:rPr>
        <w:t>
      42. Уличная мебель должна быть в функционирующем состоянии. Нефункционирующая уличная мебель не должна ухудшать облик города. Во время проведения технического обслуживания или ремонта, необходимо устанавливать временные ограждения с предупреждающей информацией.</w:t>
      </w:r>
    </w:p>
    <w:p>
      <w:pPr>
        <w:spacing w:after="0"/>
        <w:ind w:left="0"/>
        <w:jc w:val="both"/>
      </w:pPr>
      <w:r>
        <w:rPr>
          <w:rFonts w:ascii="Times New Roman"/>
          <w:b w:val="false"/>
          <w:i w:val="false"/>
          <w:color w:val="000000"/>
          <w:sz w:val="28"/>
        </w:rPr>
        <w:t>
      43. На территориях общего пользования (скверах, парках и пешеходных улицах) допускается установка малых архитектурных форм по согласованию с уполномоченным органом.</w:t>
      </w:r>
    </w:p>
    <w:p>
      <w:pPr>
        <w:spacing w:after="0"/>
        <w:ind w:left="0"/>
        <w:jc w:val="both"/>
      </w:pPr>
      <w:r>
        <w:rPr>
          <w:rFonts w:ascii="Times New Roman"/>
          <w:b w:val="false"/>
          <w:i w:val="false"/>
          <w:color w:val="000000"/>
          <w:sz w:val="28"/>
        </w:rPr>
        <w:t>
      44. Уличная мебель в виде скамей располагается в углублениях на краю тротуаров и пешеходных пространств, а также на краю пешеходного пути без специальных углублений, при этом, не создавая препятствий пешеходам и коммунальной технике.</w:t>
      </w:r>
    </w:p>
    <w:p>
      <w:pPr>
        <w:spacing w:after="0"/>
        <w:ind w:left="0"/>
        <w:jc w:val="both"/>
      </w:pPr>
      <w:r>
        <w:rPr>
          <w:rFonts w:ascii="Times New Roman"/>
          <w:b w:val="false"/>
          <w:i w:val="false"/>
          <w:color w:val="000000"/>
          <w:sz w:val="28"/>
        </w:rPr>
        <w:t>
      45. Скамьи и места для сидения должны соответствовать параметрам, указанным в Приложении 6 к Дизайн-коду.</w:t>
      </w:r>
    </w:p>
    <w:p>
      <w:pPr>
        <w:spacing w:after="0"/>
        <w:ind w:left="0"/>
        <w:jc w:val="both"/>
      </w:pPr>
      <w:r>
        <w:rPr>
          <w:rFonts w:ascii="Times New Roman"/>
          <w:b w:val="false"/>
          <w:i w:val="false"/>
          <w:color w:val="000000"/>
          <w:sz w:val="28"/>
        </w:rPr>
        <w:t>
      46. Урны должны размещаться в углублениях пешеходного пространства, не мешая потоку пешеходов. При расположении рядом со скамьями, урна должна находиться на расстоянии не менее 50 см и не более 1 метра от торцевой части скамьи, с одной или с двух сторон от скамьи согласно Приложению 7 к Дизайн-коду.</w:t>
      </w:r>
    </w:p>
    <w:p>
      <w:pPr>
        <w:spacing w:after="0"/>
        <w:ind w:left="0"/>
        <w:jc w:val="both"/>
      </w:pPr>
      <w:r>
        <w:rPr>
          <w:rFonts w:ascii="Times New Roman"/>
          <w:b w:val="false"/>
          <w:i w:val="false"/>
          <w:color w:val="000000"/>
          <w:sz w:val="28"/>
        </w:rPr>
        <w:t>
      47. Не допускается размещение мусоросборочных площадок (вакуумные, контейнерные, подземные) за исключением индивидуальных урн на территориях общего пользования, государственного земельного фонда, общественных пространств, вдоль улиц и дорог.</w:t>
      </w:r>
    </w:p>
    <w:p>
      <w:pPr>
        <w:spacing w:after="0"/>
        <w:ind w:left="0"/>
        <w:jc w:val="both"/>
      </w:pPr>
      <w:r>
        <w:rPr>
          <w:rFonts w:ascii="Times New Roman"/>
          <w:b w:val="false"/>
          <w:i w:val="false"/>
          <w:color w:val="000000"/>
          <w:sz w:val="28"/>
        </w:rPr>
        <w:t>
      48. Мусоросборочные площадки должны располагаться исключительно на внутридворовых территориях жилых домов или на частных земельных участках за пределами видимости со стороны главных подъездов.</w:t>
      </w:r>
    </w:p>
    <w:p>
      <w:pPr>
        <w:spacing w:after="0"/>
        <w:ind w:left="0"/>
        <w:jc w:val="both"/>
      </w:pPr>
      <w:r>
        <w:rPr>
          <w:rFonts w:ascii="Times New Roman"/>
          <w:b w:val="false"/>
          <w:i w:val="false"/>
          <w:color w:val="000000"/>
          <w:sz w:val="28"/>
        </w:rPr>
        <w:t>
      49. Элементы объектов сбора мусора должны быть прочно и надежно прикреплены к фундаментам при помощи бетонирования или анкерного крепления.</w:t>
      </w:r>
    </w:p>
    <w:p>
      <w:pPr>
        <w:spacing w:after="0"/>
        <w:ind w:left="0"/>
        <w:jc w:val="both"/>
      </w:pPr>
      <w:r>
        <w:rPr>
          <w:rFonts w:ascii="Times New Roman"/>
          <w:b w:val="false"/>
          <w:i w:val="false"/>
          <w:color w:val="000000"/>
          <w:sz w:val="28"/>
        </w:rPr>
        <w:t>
      50. Урны должны иметь единый дизайн и цвет со всеми элементами уличной мебели окружающего пространства.</w:t>
      </w:r>
    </w:p>
    <w:p>
      <w:pPr>
        <w:spacing w:after="0"/>
        <w:ind w:left="0"/>
        <w:jc w:val="both"/>
      </w:pPr>
      <w:r>
        <w:rPr>
          <w:rFonts w:ascii="Times New Roman"/>
          <w:b w:val="false"/>
          <w:i w:val="false"/>
          <w:color w:val="000000"/>
          <w:sz w:val="28"/>
        </w:rPr>
        <w:t>
      51. Урны и контейнеры для сбора твердо-бытовых отходов не должны способствовать ухудшению визуальной составляющей элементов городского пространства.</w:t>
      </w:r>
    </w:p>
    <w:p>
      <w:pPr>
        <w:spacing w:after="0"/>
        <w:ind w:left="0"/>
        <w:jc w:val="both"/>
      </w:pPr>
      <w:r>
        <w:rPr>
          <w:rFonts w:ascii="Times New Roman"/>
          <w:b w:val="false"/>
          <w:i w:val="false"/>
          <w:color w:val="000000"/>
          <w:sz w:val="28"/>
        </w:rPr>
        <w:t>
      52. Урны с установленными на них пепельницами следует размещать на расстоянии 5 м от окон жилых домов и входов в здания. Внешняя поверхность урн должна быть рельефной и перфорированной для защиты от нанесения надписей и граффити.</w:t>
      </w:r>
    </w:p>
    <w:p>
      <w:pPr>
        <w:spacing w:after="0"/>
        <w:ind w:left="0"/>
        <w:jc w:val="both"/>
      </w:pPr>
      <w:r>
        <w:rPr>
          <w:rFonts w:ascii="Times New Roman"/>
          <w:b w:val="false"/>
          <w:i w:val="false"/>
          <w:color w:val="000000"/>
          <w:sz w:val="28"/>
        </w:rPr>
        <w:t>
      53. Урны для раздельного сбора мусора следует группировать вместе, располагая в один ряд.</w:t>
      </w:r>
    </w:p>
    <w:p>
      <w:pPr>
        <w:spacing w:after="0"/>
        <w:ind w:left="0"/>
        <w:jc w:val="both"/>
      </w:pPr>
      <w:r>
        <w:rPr>
          <w:rFonts w:ascii="Times New Roman"/>
          <w:b w:val="false"/>
          <w:i w:val="false"/>
          <w:color w:val="000000"/>
          <w:sz w:val="28"/>
        </w:rPr>
        <w:t>
      54. Все элементы для сбора мусора должны быть размещены так, чтобы не препятствовать основному пешеходному потоку, на минимальном расстоянии 0,5 метра от пешеходного пути, вместе с другими элементами уличной мебели.</w:t>
      </w:r>
    </w:p>
    <w:p>
      <w:pPr>
        <w:spacing w:after="0"/>
        <w:ind w:left="0"/>
        <w:jc w:val="both"/>
      </w:pPr>
      <w:r>
        <w:rPr>
          <w:rFonts w:ascii="Times New Roman"/>
          <w:b w:val="false"/>
          <w:i w:val="false"/>
          <w:color w:val="000000"/>
          <w:sz w:val="28"/>
        </w:rPr>
        <w:t>
      55. Урны размещаются вблизи мест для сидения, входных групп зданий, подземными переходами, остановками общественного транспорта, на расстоянии более 0,5 метра от этих объектов.</w:t>
      </w:r>
    </w:p>
    <w:p>
      <w:pPr>
        <w:spacing w:after="0"/>
        <w:ind w:left="0"/>
        <w:jc w:val="both"/>
      </w:pPr>
      <w:r>
        <w:rPr>
          <w:rFonts w:ascii="Times New Roman"/>
          <w:b w:val="false"/>
          <w:i w:val="false"/>
          <w:color w:val="000000"/>
          <w:sz w:val="28"/>
        </w:rPr>
        <w:t>
      56. Площадки для сбора твердо-бытовых отходов необходимо размещать вдоль проездов. Расстояние от края проезда до ближайшего мусороприемника должно составлять не менее 1,5 метра и не более 10 метров. Мусорные контейнеры могут размещаться в ряду линейной парковки на улице на расстоянии не менее 20 метров от окон жилых домов согласно Приложению 8 к Дизайн-коду.</w:t>
      </w:r>
    </w:p>
    <w:p>
      <w:pPr>
        <w:spacing w:after="0"/>
        <w:ind w:left="0"/>
        <w:jc w:val="both"/>
      </w:pPr>
      <w:r>
        <w:rPr>
          <w:rFonts w:ascii="Times New Roman"/>
          <w:b w:val="false"/>
          <w:i w:val="false"/>
          <w:color w:val="000000"/>
          <w:sz w:val="28"/>
        </w:rPr>
        <w:t>
      57. При подземном размещении контейнеров возможно сокращение расстояния до 10 метров. Расстояние до площадок для установки мусоросборников не должно превышать 100 метров от домов с мусоропроводом и 50 метров от домов без мусоропровода.</w:t>
      </w:r>
    </w:p>
    <w:p>
      <w:pPr>
        <w:spacing w:after="0"/>
        <w:ind w:left="0"/>
        <w:jc w:val="both"/>
      </w:pPr>
      <w:r>
        <w:rPr>
          <w:rFonts w:ascii="Times New Roman"/>
          <w:b w:val="false"/>
          <w:i w:val="false"/>
          <w:color w:val="000000"/>
          <w:sz w:val="28"/>
        </w:rPr>
        <w:t>
      58. Группы контейнеров для сбора твердо-бытовых отходов должны размещаться на огороженных площадках на расстоянии не менее 20 метров от окон жилых домов, границ физкультурных площадок и площадок для игр и отдыха.</w:t>
      </w:r>
    </w:p>
    <w:p>
      <w:pPr>
        <w:spacing w:after="0"/>
        <w:ind w:left="0"/>
        <w:jc w:val="both"/>
      </w:pPr>
      <w:r>
        <w:rPr>
          <w:rFonts w:ascii="Times New Roman"/>
          <w:b w:val="false"/>
          <w:i w:val="false"/>
          <w:color w:val="000000"/>
          <w:sz w:val="28"/>
        </w:rPr>
        <w:t>
      59. На спортивных и детских площадках размещенных за пределами помещений, необходимо устанавливать капитальные или модульные теневые навесы, а также наземные покрытия в соответствии с Постановлением правительства Республики Казахстан от 17 ноября 2010 года № 1202 "Об утверждении технического регламента "Требования к безопасности зданий и сооружений, строительных материалов и изделий".</w:t>
      </w:r>
    </w:p>
    <w:p>
      <w:pPr>
        <w:spacing w:after="0"/>
        <w:ind w:left="0"/>
        <w:jc w:val="both"/>
      </w:pPr>
      <w:r>
        <w:rPr>
          <w:rFonts w:ascii="Times New Roman"/>
          <w:b w:val="false"/>
          <w:i w:val="false"/>
          <w:color w:val="000000"/>
          <w:sz w:val="28"/>
        </w:rPr>
        <w:t>
      60. В целях соблюдения целостной эстетичной архитектуры, комфортной, доступной и безопасной городской среды, на участках с высоким пешеходным потоком необходимо устанавливать приствольные решетки и ограждения стволов деревьев и их прикорневой части от вытаптывания и повреждений согласно Приложению 9 к Дизайн-коду.</w:t>
      </w:r>
    </w:p>
    <w:p>
      <w:pPr>
        <w:spacing w:after="0"/>
        <w:ind w:left="0"/>
        <w:jc w:val="both"/>
      </w:pPr>
      <w:r>
        <w:rPr>
          <w:rFonts w:ascii="Times New Roman"/>
          <w:b w:val="false"/>
          <w:i w:val="false"/>
          <w:color w:val="000000"/>
          <w:sz w:val="28"/>
        </w:rPr>
        <w:t>
      61. Приствольные решетки необходимо выполнять из стали холодного и горячего оцинкования, высокопрочного чугуна и архитектурного бетона. Необходимо использовать ажурные приствольные решетки для обеспечения попадания воды и воздуха в грунт.</w:t>
      </w:r>
    </w:p>
    <w:p>
      <w:pPr>
        <w:spacing w:after="0"/>
        <w:ind w:left="0"/>
        <w:jc w:val="both"/>
      </w:pPr>
      <w:r>
        <w:rPr>
          <w:rFonts w:ascii="Times New Roman"/>
          <w:b w:val="false"/>
          <w:i w:val="false"/>
          <w:color w:val="000000"/>
          <w:sz w:val="28"/>
        </w:rPr>
        <w:t>
      62. Не допускается оставлять грунт открытым в парковых зонах, вдоль тротуаров, в пешеходных зонах. Грунт необходимо покрывать защитным гравийным, щебеночным мульчированным покрытием, в том числе посадкой растений с выделением границ бортовым камнем или элементом мощения.</w:t>
      </w:r>
    </w:p>
    <w:p>
      <w:pPr>
        <w:spacing w:after="0"/>
        <w:ind w:left="0"/>
        <w:jc w:val="both"/>
      </w:pPr>
      <w:r>
        <w:rPr>
          <w:rFonts w:ascii="Times New Roman"/>
          <w:b w:val="false"/>
          <w:i w:val="false"/>
          <w:color w:val="000000"/>
          <w:sz w:val="28"/>
        </w:rPr>
        <w:t>
      63. Приствольные решетки должны обеспечивать одноуровневое покрытие и создание целостной эстетичной архитектуры, доступной и безопасной городской среды.</w:t>
      </w:r>
    </w:p>
    <w:p>
      <w:pPr>
        <w:spacing w:after="0"/>
        <w:ind w:left="0"/>
        <w:jc w:val="both"/>
      </w:pPr>
      <w:r>
        <w:rPr>
          <w:rFonts w:ascii="Times New Roman"/>
          <w:b w:val="false"/>
          <w:i w:val="false"/>
          <w:color w:val="000000"/>
          <w:sz w:val="28"/>
        </w:rPr>
        <w:t>
      64. Приствольные ограждения должны быть безопасными, плавными и закругленными, без острых углов и элементов.</w:t>
      </w:r>
    </w:p>
    <w:p>
      <w:pPr>
        <w:spacing w:after="0"/>
        <w:ind w:left="0"/>
        <w:jc w:val="both"/>
      </w:pPr>
      <w:r>
        <w:rPr>
          <w:rFonts w:ascii="Times New Roman"/>
          <w:b w:val="false"/>
          <w:i w:val="false"/>
          <w:color w:val="000000"/>
          <w:sz w:val="28"/>
        </w:rPr>
        <w:t>
      65. Конструкции для кратковременного или длительного хранения велосипедов или самокатов (парковки средств микромобильности), должны соответствовать цветовому решению архитектурной среды, а также в соответствии с Приложением 10 к Дизайн-коду.</w:t>
      </w:r>
    </w:p>
    <w:p>
      <w:pPr>
        <w:spacing w:after="0"/>
        <w:ind w:left="0"/>
        <w:jc w:val="both"/>
      </w:pPr>
      <w:r>
        <w:rPr>
          <w:rFonts w:ascii="Times New Roman"/>
          <w:b w:val="false"/>
          <w:i w:val="false"/>
          <w:color w:val="000000"/>
          <w:sz w:val="28"/>
        </w:rPr>
        <w:t>
      66. Расстояние между стойками групповых парковок средств микромобильности 1 метр для перпендикулярных парковок и 2 метра для параллельных парковок.</w:t>
      </w:r>
    </w:p>
    <w:p>
      <w:pPr>
        <w:spacing w:after="0"/>
        <w:ind w:left="0"/>
        <w:jc w:val="both"/>
      </w:pPr>
      <w:r>
        <w:rPr>
          <w:rFonts w:ascii="Times New Roman"/>
          <w:b w:val="false"/>
          <w:i w:val="false"/>
          <w:color w:val="000000"/>
          <w:sz w:val="28"/>
        </w:rPr>
        <w:t>
      Конструкции парковок средств микро мобильности должны размещаться на расстоянии 0,8 метров от тротуарного бордюра и зон пешеходных переходов, 0,6 метров от фасадов зданий, ограждений и живых изгородей, 30 метров от входных групп зданий, 3 метра от остановок общественного транспорта, 1,2 метра от других объектов благоустройства.</w:t>
      </w:r>
    </w:p>
    <w:p>
      <w:pPr>
        <w:spacing w:after="0"/>
        <w:ind w:left="0"/>
        <w:jc w:val="both"/>
      </w:pPr>
      <w:r>
        <w:rPr>
          <w:rFonts w:ascii="Times New Roman"/>
          <w:b w:val="false"/>
          <w:i w:val="false"/>
          <w:color w:val="000000"/>
          <w:sz w:val="28"/>
        </w:rPr>
        <w:t>
      При размещении нескольких конструкций парковок средств микро мобильности, расстояние между конструкциями должно составлять не менее 1,5 метра.</w:t>
      </w:r>
    </w:p>
    <w:p>
      <w:pPr>
        <w:spacing w:after="0"/>
        <w:ind w:left="0"/>
        <w:jc w:val="both"/>
      </w:pPr>
      <w:r>
        <w:rPr>
          <w:rFonts w:ascii="Times New Roman"/>
          <w:b w:val="false"/>
          <w:i w:val="false"/>
          <w:color w:val="000000"/>
          <w:sz w:val="28"/>
        </w:rPr>
        <w:t>
      Размещение конструкций парковок средств микро мобильности не допускается на газоне, проезжей части, создавая препятствия проходу пешеходам и техническому транспорту.</w:t>
      </w:r>
    </w:p>
    <w:bookmarkStart w:name="z11" w:id="9"/>
    <w:p>
      <w:pPr>
        <w:spacing w:after="0"/>
        <w:ind w:left="0"/>
        <w:jc w:val="left"/>
      </w:pPr>
      <w:r>
        <w:rPr>
          <w:rFonts w:ascii="Times New Roman"/>
          <w:b/>
          <w:i w:val="false"/>
          <w:color w:val="000000"/>
        </w:rPr>
        <w:t xml:space="preserve"> Глава 6. Фасады</w:t>
      </w:r>
    </w:p>
    <w:bookmarkEnd w:id="9"/>
    <w:p>
      <w:pPr>
        <w:spacing w:after="0"/>
        <w:ind w:left="0"/>
        <w:jc w:val="both"/>
      </w:pPr>
      <w:r>
        <w:rPr>
          <w:rFonts w:ascii="Times New Roman"/>
          <w:b w:val="false"/>
          <w:i w:val="false"/>
          <w:color w:val="000000"/>
          <w:sz w:val="28"/>
        </w:rPr>
        <w:t>
      67. При оформлении фасадов зданий не допускается заплаточный ремонт и покраска фрагментов стен в разные оттенки. Цвет и покраска стен зданий должны быть однородными.</w:t>
      </w:r>
    </w:p>
    <w:p>
      <w:pPr>
        <w:spacing w:after="0"/>
        <w:ind w:left="0"/>
        <w:jc w:val="both"/>
      </w:pPr>
      <w:r>
        <w:rPr>
          <w:rFonts w:ascii="Times New Roman"/>
          <w:b w:val="false"/>
          <w:i w:val="false"/>
          <w:color w:val="000000"/>
          <w:sz w:val="28"/>
        </w:rPr>
        <w:t>
      68. При выборе типа отделки и цветового решения в процессе реставрации и косметического ремонта зданий необходимо руководствоваться историческими данными и исходным проектом. В случае отсутствия исторических данных о здании, необходимо придерживаться архитектурного ансамбля местности.</w:t>
      </w:r>
    </w:p>
    <w:p>
      <w:pPr>
        <w:spacing w:after="0"/>
        <w:ind w:left="0"/>
        <w:jc w:val="both"/>
      </w:pPr>
      <w:r>
        <w:rPr>
          <w:rFonts w:ascii="Times New Roman"/>
          <w:b w:val="false"/>
          <w:i w:val="false"/>
          <w:color w:val="000000"/>
          <w:sz w:val="28"/>
        </w:rPr>
        <w:t>
      69. При отделке фасада не допускается использование сайдинга (за исключением индивидуальных жилых домов), профилированного металлического листа (за исключением промышленных объектов) неокрашенных хризотилцементных плоских листов.</w:t>
      </w:r>
    </w:p>
    <w:p>
      <w:pPr>
        <w:spacing w:after="0"/>
        <w:ind w:left="0"/>
        <w:jc w:val="both"/>
      </w:pPr>
      <w:r>
        <w:rPr>
          <w:rFonts w:ascii="Times New Roman"/>
          <w:b w:val="false"/>
          <w:i w:val="false"/>
          <w:color w:val="000000"/>
          <w:sz w:val="28"/>
        </w:rPr>
        <w:t>
      70. При капитальном ремонте и реконструкции фасадов зданий, предусматривающих дополнительное утепление и применение системы вентилируемых фасадов, финишная отделка выполняется из материалов, максимально приближенных к исходным свойствам стен, их поверхности и цвету.</w:t>
      </w:r>
    </w:p>
    <w:p>
      <w:pPr>
        <w:spacing w:after="0"/>
        <w:ind w:left="0"/>
        <w:jc w:val="both"/>
      </w:pPr>
      <w:r>
        <w:rPr>
          <w:rFonts w:ascii="Times New Roman"/>
          <w:b w:val="false"/>
          <w:i w:val="false"/>
          <w:color w:val="000000"/>
          <w:sz w:val="28"/>
        </w:rPr>
        <w:t>
      71. Не допускается использование в качестве финишной отделки систем вентилируемых фасадов квадратные керамогранитные и композитные панели.</w:t>
      </w:r>
    </w:p>
    <w:p>
      <w:pPr>
        <w:spacing w:after="0"/>
        <w:ind w:left="0"/>
        <w:jc w:val="both"/>
      </w:pPr>
      <w:r>
        <w:rPr>
          <w:rFonts w:ascii="Times New Roman"/>
          <w:b w:val="false"/>
          <w:i w:val="false"/>
          <w:color w:val="000000"/>
          <w:sz w:val="28"/>
        </w:rPr>
        <w:t>
      72. Утепление зданий производится комплексно для всего здания и согласовывается в структурном подразделении акимата города Туркестан осуществляющим функции в сфере архитектуры и градостроительства.</w:t>
      </w:r>
    </w:p>
    <w:p>
      <w:pPr>
        <w:spacing w:after="0"/>
        <w:ind w:left="0"/>
        <w:jc w:val="both"/>
      </w:pPr>
      <w:r>
        <w:rPr>
          <w:rFonts w:ascii="Times New Roman"/>
          <w:b w:val="false"/>
          <w:i w:val="false"/>
          <w:color w:val="000000"/>
          <w:sz w:val="28"/>
        </w:rPr>
        <w:t>
      73. Необходимо использовать следующие приемы оформления фасадов зданий, по отдельности либо в комбинации:</w:t>
      </w:r>
    </w:p>
    <w:p>
      <w:pPr>
        <w:spacing w:after="0"/>
        <w:ind w:left="0"/>
        <w:jc w:val="both"/>
      </w:pPr>
      <w:r>
        <w:rPr>
          <w:rFonts w:ascii="Times New Roman"/>
          <w:b w:val="false"/>
          <w:i w:val="false"/>
          <w:color w:val="000000"/>
          <w:sz w:val="28"/>
        </w:rPr>
        <w:t>
      1) исходный – восстановление исторического цветового решения;</w:t>
      </w:r>
    </w:p>
    <w:p>
      <w:pPr>
        <w:spacing w:after="0"/>
        <w:ind w:left="0"/>
        <w:jc w:val="both"/>
      </w:pPr>
      <w:r>
        <w:rPr>
          <w:rFonts w:ascii="Times New Roman"/>
          <w:b w:val="false"/>
          <w:i w:val="false"/>
          <w:color w:val="000000"/>
          <w:sz w:val="28"/>
        </w:rPr>
        <w:t>
      2) плоскостной – оформление плоскостей фасада с ориентацией по вертикали или горизонтали;</w:t>
      </w:r>
    </w:p>
    <w:p>
      <w:pPr>
        <w:spacing w:after="0"/>
        <w:ind w:left="0"/>
        <w:jc w:val="both"/>
      </w:pPr>
      <w:r>
        <w:rPr>
          <w:rFonts w:ascii="Times New Roman"/>
          <w:b w:val="false"/>
          <w:i w:val="false"/>
          <w:color w:val="000000"/>
          <w:sz w:val="28"/>
        </w:rPr>
        <w:t>
      3) акцентный – выделение цветом фрагментов фасада;</w:t>
      </w:r>
    </w:p>
    <w:p>
      <w:pPr>
        <w:spacing w:after="0"/>
        <w:ind w:left="0"/>
        <w:jc w:val="both"/>
      </w:pPr>
      <w:r>
        <w:rPr>
          <w:rFonts w:ascii="Times New Roman"/>
          <w:b w:val="false"/>
          <w:i w:val="false"/>
          <w:color w:val="000000"/>
          <w:sz w:val="28"/>
        </w:rPr>
        <w:t>
      4) декоративный – создание дополнительных декоративных элементов на торце фасада.</w:t>
      </w:r>
    </w:p>
    <w:p>
      <w:pPr>
        <w:spacing w:after="0"/>
        <w:ind w:left="0"/>
        <w:jc w:val="both"/>
      </w:pPr>
      <w:r>
        <w:rPr>
          <w:rFonts w:ascii="Times New Roman"/>
          <w:b w:val="false"/>
          <w:i w:val="false"/>
          <w:color w:val="000000"/>
          <w:sz w:val="28"/>
        </w:rPr>
        <w:t>
      74. Все входные группы помещений в здании должны выполняться в одном формате, с использованием идентичных материалов и цветовых решений, либо выполняться в одной гамме с фасадом здания.</w:t>
      </w:r>
    </w:p>
    <w:p>
      <w:pPr>
        <w:spacing w:after="0"/>
        <w:ind w:left="0"/>
        <w:jc w:val="both"/>
      </w:pPr>
      <w:r>
        <w:rPr>
          <w:rFonts w:ascii="Times New Roman"/>
          <w:b w:val="false"/>
          <w:i w:val="false"/>
          <w:color w:val="000000"/>
          <w:sz w:val="28"/>
        </w:rPr>
        <w:t>
      75. Окна в зданиях, представляющих историческую и архитектурную ценность, при реконструкции должны восстанавливаться в соответствии с их историческим обликом.</w:t>
      </w:r>
    </w:p>
    <w:p>
      <w:pPr>
        <w:spacing w:after="0"/>
        <w:ind w:left="0"/>
        <w:jc w:val="both"/>
      </w:pPr>
      <w:r>
        <w:rPr>
          <w:rFonts w:ascii="Times New Roman"/>
          <w:b w:val="false"/>
          <w:i w:val="false"/>
          <w:color w:val="000000"/>
          <w:sz w:val="28"/>
        </w:rPr>
        <w:t>
      Оконные переплеты должны быть одинаковыми во всем здании, цвет и материал рам идентичными, если в согласованном проекте не предусмотрено иное.</w:t>
      </w:r>
    </w:p>
    <w:p>
      <w:pPr>
        <w:spacing w:after="0"/>
        <w:ind w:left="0"/>
        <w:jc w:val="both"/>
      </w:pPr>
      <w:r>
        <w:rPr>
          <w:rFonts w:ascii="Times New Roman"/>
          <w:b w:val="false"/>
          <w:i w:val="false"/>
          <w:color w:val="000000"/>
          <w:sz w:val="28"/>
        </w:rPr>
        <w:t>
      76. Балконные двери должны иметь остекление и сочетаться с оконными блоками здания по форме, цветовому решению и используемым материалам.</w:t>
      </w:r>
    </w:p>
    <w:p>
      <w:pPr>
        <w:spacing w:after="0"/>
        <w:ind w:left="0"/>
        <w:jc w:val="both"/>
      </w:pPr>
      <w:r>
        <w:rPr>
          <w:rFonts w:ascii="Times New Roman"/>
          <w:b w:val="false"/>
          <w:i w:val="false"/>
          <w:color w:val="000000"/>
          <w:sz w:val="28"/>
        </w:rPr>
        <w:t>
      77. Двери в зданиях, представляющих историческую и архитектурную ценность, восстанавливаются в соответствии с их историческим обликом.</w:t>
      </w:r>
    </w:p>
    <w:p>
      <w:pPr>
        <w:spacing w:after="0"/>
        <w:ind w:left="0"/>
        <w:jc w:val="both"/>
      </w:pPr>
      <w:r>
        <w:rPr>
          <w:rFonts w:ascii="Times New Roman"/>
          <w:b w:val="false"/>
          <w:i w:val="false"/>
          <w:color w:val="000000"/>
          <w:sz w:val="28"/>
        </w:rPr>
        <w:t>
      Для входных дверей в зданиях современной постройки используются нейтральные или натуральные цвета профилей, если иное не предусмотрено в согласованном проекте. Входные двери должны сочетаться по стилю с окнами и фасадом.</w:t>
      </w:r>
    </w:p>
    <w:p>
      <w:pPr>
        <w:spacing w:after="0"/>
        <w:ind w:left="0"/>
        <w:jc w:val="both"/>
      </w:pPr>
      <w:r>
        <w:rPr>
          <w:rFonts w:ascii="Times New Roman"/>
          <w:b w:val="false"/>
          <w:i w:val="false"/>
          <w:color w:val="000000"/>
          <w:sz w:val="28"/>
        </w:rPr>
        <w:t>
      На первых и цокольных этажах, нежилых помещений необходимо устанавливать входные двери с остеклением.</w:t>
      </w:r>
    </w:p>
    <w:p>
      <w:pPr>
        <w:spacing w:after="0"/>
        <w:ind w:left="0"/>
        <w:jc w:val="both"/>
      </w:pPr>
      <w:r>
        <w:rPr>
          <w:rFonts w:ascii="Times New Roman"/>
          <w:b w:val="false"/>
          <w:i w:val="false"/>
          <w:color w:val="000000"/>
          <w:sz w:val="28"/>
        </w:rPr>
        <w:t>
      78. Цветовые решения и материалы, используемые для отделки нежилых помещений первых и цокольных этажей (встроенных в здание), должны соответствовать архитектурному стилю фасада здания.</w:t>
      </w:r>
    </w:p>
    <w:p>
      <w:pPr>
        <w:spacing w:after="0"/>
        <w:ind w:left="0"/>
        <w:jc w:val="both"/>
      </w:pPr>
      <w:r>
        <w:rPr>
          <w:rFonts w:ascii="Times New Roman"/>
          <w:b w:val="false"/>
          <w:i w:val="false"/>
          <w:color w:val="000000"/>
          <w:sz w:val="28"/>
        </w:rPr>
        <w:t>
      Не допускается перекрытие стен фасада первых этажей пленкой либо баннерами.</w:t>
      </w:r>
    </w:p>
    <w:p>
      <w:pPr>
        <w:spacing w:after="0"/>
        <w:ind w:left="0"/>
        <w:jc w:val="both"/>
      </w:pPr>
      <w:r>
        <w:rPr>
          <w:rFonts w:ascii="Times New Roman"/>
          <w:b w:val="false"/>
          <w:i w:val="false"/>
          <w:color w:val="000000"/>
          <w:sz w:val="28"/>
        </w:rPr>
        <w:t>
      79. При строительстве, реконструкции и ремонте входных групп необходимо использовать материалы из натурального дерева или тонированной деревянной панели, прозрачные стеклянные двери и окна, металлические элементы.</w:t>
      </w:r>
    </w:p>
    <w:p>
      <w:pPr>
        <w:spacing w:after="0"/>
        <w:ind w:left="0"/>
        <w:jc w:val="both"/>
      </w:pPr>
      <w:r>
        <w:rPr>
          <w:rFonts w:ascii="Times New Roman"/>
          <w:b w:val="false"/>
          <w:i w:val="false"/>
          <w:color w:val="000000"/>
          <w:sz w:val="28"/>
        </w:rPr>
        <w:t>
      80. Входные группы оформляются компактными деревьями или кустарниками вдоль фасада и входа. Допускается оформление стен с помощью цветочных грядок и вертикального озеленения.</w:t>
      </w:r>
    </w:p>
    <w:p>
      <w:pPr>
        <w:spacing w:after="0"/>
        <w:ind w:left="0"/>
        <w:jc w:val="both"/>
      </w:pPr>
      <w:r>
        <w:rPr>
          <w:rFonts w:ascii="Times New Roman"/>
          <w:b w:val="false"/>
          <w:i w:val="false"/>
          <w:color w:val="000000"/>
          <w:sz w:val="28"/>
        </w:rPr>
        <w:t>
      Входные группы оформляются архитектурными и декоративными элементами, по согласованию с уполномоченным органом.</w:t>
      </w:r>
    </w:p>
    <w:p>
      <w:pPr>
        <w:spacing w:after="0"/>
        <w:ind w:left="0"/>
        <w:jc w:val="both"/>
      </w:pPr>
      <w:r>
        <w:rPr>
          <w:rFonts w:ascii="Times New Roman"/>
          <w:b w:val="false"/>
          <w:i w:val="false"/>
          <w:color w:val="000000"/>
          <w:sz w:val="28"/>
        </w:rPr>
        <w:t>
      81. Ограждения лестниц, выполненные из натуральных материалов, не подлежат окрашиванию, за исключением прозрачных пропиток, улучшающих общий вид.</w:t>
      </w:r>
    </w:p>
    <w:p>
      <w:pPr>
        <w:spacing w:after="0"/>
        <w:ind w:left="0"/>
        <w:jc w:val="both"/>
      </w:pPr>
      <w:r>
        <w:rPr>
          <w:rFonts w:ascii="Times New Roman"/>
          <w:b w:val="false"/>
          <w:i w:val="false"/>
          <w:color w:val="000000"/>
          <w:sz w:val="28"/>
        </w:rPr>
        <w:t>
      Металлические ограждения окрашиваются в темный цвет. Необходимо использовать деревянные поручни.</w:t>
      </w:r>
    </w:p>
    <w:p>
      <w:pPr>
        <w:spacing w:after="0"/>
        <w:ind w:left="0"/>
        <w:jc w:val="both"/>
      </w:pPr>
      <w:r>
        <w:rPr>
          <w:rFonts w:ascii="Times New Roman"/>
          <w:b w:val="false"/>
          <w:i w:val="false"/>
          <w:color w:val="000000"/>
          <w:sz w:val="28"/>
        </w:rPr>
        <w:t>
      82. Все техническое и инженерное оборудование должно размещаться на технических этажах. Технические и электрические провода необходимо прокладывать внутри стен, убирать с поверхности фасада либо прятать в специальные короба в цвет фасада.</w:t>
      </w:r>
    </w:p>
    <w:p>
      <w:pPr>
        <w:spacing w:after="0"/>
        <w:ind w:left="0"/>
        <w:jc w:val="both"/>
      </w:pPr>
      <w:r>
        <w:rPr>
          <w:rFonts w:ascii="Times New Roman"/>
          <w:b w:val="false"/>
          <w:i w:val="false"/>
          <w:color w:val="000000"/>
          <w:sz w:val="28"/>
        </w:rPr>
        <w:t>
      Допускается прокладка проводов и вентиляционных труб по фасаду, если они расположены упорядоченно, в небольшом количестве и окрашены в цвет фасада. Прокладка инженерного оборудования по фасаду должна осуществляться строго вертикально или горизонтально. Элементы системы видеонаблюдения также рекомендуется окрашивать в цвет фасада.</w:t>
      </w:r>
    </w:p>
    <w:p>
      <w:pPr>
        <w:spacing w:after="0"/>
        <w:ind w:left="0"/>
        <w:jc w:val="both"/>
      </w:pPr>
      <w:r>
        <w:rPr>
          <w:rFonts w:ascii="Times New Roman"/>
          <w:b w:val="false"/>
          <w:i w:val="false"/>
          <w:color w:val="000000"/>
          <w:sz w:val="28"/>
        </w:rPr>
        <w:t>
      83. При установки инженерного и технического оборудования необходимо использовать скрытые элементы крепления.</w:t>
      </w:r>
    </w:p>
    <w:p>
      <w:pPr>
        <w:spacing w:after="0"/>
        <w:ind w:left="0"/>
        <w:jc w:val="both"/>
      </w:pPr>
      <w:r>
        <w:rPr>
          <w:rFonts w:ascii="Times New Roman"/>
          <w:b w:val="false"/>
          <w:i w:val="false"/>
          <w:color w:val="000000"/>
          <w:sz w:val="28"/>
        </w:rPr>
        <w:t>
      Инженерное оборудование не должно перекрывать архитектурные элементы, окна и двери должны располагаться от них на расстоянии не менее 0,2 метра.</w:t>
      </w:r>
    </w:p>
    <w:p>
      <w:pPr>
        <w:spacing w:after="0"/>
        <w:ind w:left="0"/>
        <w:jc w:val="both"/>
      </w:pPr>
      <w:r>
        <w:rPr>
          <w:rFonts w:ascii="Times New Roman"/>
          <w:b w:val="false"/>
          <w:i w:val="false"/>
          <w:color w:val="000000"/>
          <w:sz w:val="28"/>
        </w:rPr>
        <w:t>
      84. При эксплуатации объектов не допускается нарушение архитектурного стиля здания, сооружения, за исключением случаев, когда мероприятием по капитальному ремонту и реконструкции здания или сооружения предусматривается комплексное оформление фасада в едином стиле с применением идентичных строительных материалов;</w:t>
      </w:r>
    </w:p>
    <w:p>
      <w:pPr>
        <w:spacing w:after="0"/>
        <w:ind w:left="0"/>
        <w:jc w:val="both"/>
      </w:pPr>
      <w:r>
        <w:rPr>
          <w:rFonts w:ascii="Times New Roman"/>
          <w:b w:val="false"/>
          <w:i w:val="false"/>
          <w:color w:val="000000"/>
          <w:sz w:val="28"/>
        </w:rPr>
        <w:t>
      85. Установка кондиционеров и спутниковых и эфирных приемных устройств для приема спутникового или эфирного сигнала операторов связи и (или) телерадиовещания не допускается на лицевых сторонах фасадов зданий, расположенных на магистральных и транзитных улицах города, объектов историко-культурного наследия, а также поверх архитектурных деталей, элементов декора, архитектурно-декоративной отделки или креплений к ним.</w:t>
      </w:r>
    </w:p>
    <w:p>
      <w:pPr>
        <w:spacing w:after="0"/>
        <w:ind w:left="0"/>
        <w:jc w:val="both"/>
      </w:pPr>
      <w:r>
        <w:rPr>
          <w:rFonts w:ascii="Times New Roman"/>
          <w:b w:val="false"/>
          <w:i w:val="false"/>
          <w:color w:val="000000"/>
          <w:sz w:val="28"/>
        </w:rPr>
        <w:t>
      86. Электрические провода кондиционеров должны прокладываться внутри здания, не допускается прокладка по фасаду. Кондиционеры на возведенных зданиях переносятся в специальные короба или ниши на фасаде.</w:t>
      </w:r>
    </w:p>
    <w:p>
      <w:pPr>
        <w:spacing w:after="0"/>
        <w:ind w:left="0"/>
        <w:jc w:val="both"/>
      </w:pPr>
      <w:r>
        <w:rPr>
          <w:rFonts w:ascii="Times New Roman"/>
          <w:b w:val="false"/>
          <w:i w:val="false"/>
          <w:color w:val="000000"/>
          <w:sz w:val="28"/>
        </w:rPr>
        <w:t>
      87. Водосточные трубы и другие металлические элементы в пределах одного здания выполняются в едином стиле. Трубы окрашиваются в цвет стен.</w:t>
      </w:r>
    </w:p>
    <w:p>
      <w:pPr>
        <w:spacing w:after="0"/>
        <w:ind w:left="0"/>
        <w:jc w:val="both"/>
      </w:pPr>
      <w:r>
        <w:rPr>
          <w:rFonts w:ascii="Times New Roman"/>
          <w:b w:val="false"/>
          <w:i w:val="false"/>
          <w:color w:val="000000"/>
          <w:sz w:val="28"/>
        </w:rPr>
        <w:t>
      88. Водосточные трубы наружного водостока в процессе строительства либо реконструкции необходимо направлять (с подогревом) напрямую в закрытой трубе ниже уровня уличного мощения напрямую в ливневую канализацию.</w:t>
      </w:r>
    </w:p>
    <w:p>
      <w:pPr>
        <w:spacing w:after="0"/>
        <w:ind w:left="0"/>
        <w:jc w:val="both"/>
      </w:pPr>
      <w:r>
        <w:rPr>
          <w:rFonts w:ascii="Times New Roman"/>
          <w:b w:val="false"/>
          <w:i w:val="false"/>
          <w:color w:val="000000"/>
          <w:sz w:val="28"/>
        </w:rPr>
        <w:t>
      89. При проектировании городских пространств, для отвода ливневых стоков необходимо предусматривать ливневую канализацию.</w:t>
      </w:r>
    </w:p>
    <w:p>
      <w:pPr>
        <w:spacing w:after="0"/>
        <w:ind w:left="0"/>
        <w:jc w:val="both"/>
      </w:pPr>
      <w:r>
        <w:rPr>
          <w:rFonts w:ascii="Times New Roman"/>
          <w:b w:val="false"/>
          <w:i w:val="false"/>
          <w:color w:val="000000"/>
          <w:sz w:val="28"/>
        </w:rPr>
        <w:t>
      Арычную систему использовать только для полива и в местах отсутствия закрытой ливневой канализации.</w:t>
      </w:r>
    </w:p>
    <w:p>
      <w:pPr>
        <w:spacing w:after="0"/>
        <w:ind w:left="0"/>
        <w:jc w:val="both"/>
      </w:pPr>
      <w:r>
        <w:rPr>
          <w:rFonts w:ascii="Times New Roman"/>
          <w:b w:val="false"/>
          <w:i w:val="false"/>
          <w:color w:val="000000"/>
          <w:sz w:val="28"/>
        </w:rPr>
        <w:t>
      90. При капитальном ремонте или реконструкции, существующие пристройки к зданиям необходимо привести в соответствие с общей стилистикой и архитектурой основного здания.</w:t>
      </w:r>
    </w:p>
    <w:p>
      <w:pPr>
        <w:spacing w:after="0"/>
        <w:ind w:left="0"/>
        <w:jc w:val="both"/>
      </w:pPr>
      <w:r>
        <w:rPr>
          <w:rFonts w:ascii="Times New Roman"/>
          <w:b w:val="false"/>
          <w:i w:val="false"/>
          <w:color w:val="000000"/>
          <w:sz w:val="28"/>
        </w:rPr>
        <w:t>
      Материалы, используемые в отделке пристроек должны сочетаться с отделкой фасада основного здания. Отделка пристроек профилированным листом, крупными композитными панелями не допускается.</w:t>
      </w:r>
    </w:p>
    <w:p>
      <w:pPr>
        <w:spacing w:after="0"/>
        <w:ind w:left="0"/>
        <w:jc w:val="both"/>
      </w:pPr>
      <w:r>
        <w:rPr>
          <w:rFonts w:ascii="Times New Roman"/>
          <w:b w:val="false"/>
          <w:i w:val="false"/>
          <w:color w:val="000000"/>
          <w:sz w:val="28"/>
        </w:rPr>
        <w:t>
      Цвета отделки кровли устанавливаются в серый или темный оттенки, а также сдержанным оттенкам бордового и коричневого цветов.</w:t>
      </w:r>
    </w:p>
    <w:p>
      <w:pPr>
        <w:spacing w:after="0"/>
        <w:ind w:left="0"/>
        <w:jc w:val="both"/>
      </w:pPr>
      <w:r>
        <w:rPr>
          <w:rFonts w:ascii="Times New Roman"/>
          <w:b w:val="false"/>
          <w:i w:val="false"/>
          <w:color w:val="000000"/>
          <w:sz w:val="28"/>
        </w:rPr>
        <w:t>
      Кровля на всем здании должна изготавливаться из одного материала и окрашиваться в один цвет. Цвет кровли должен сочетаться с цветом открытой водосточной системы и металлических элементов ограждения.</w:t>
      </w:r>
    </w:p>
    <w:p>
      <w:pPr>
        <w:spacing w:after="0"/>
        <w:ind w:left="0"/>
        <w:jc w:val="both"/>
      </w:pPr>
      <w:r>
        <w:rPr>
          <w:rFonts w:ascii="Times New Roman"/>
          <w:b w:val="false"/>
          <w:i w:val="false"/>
          <w:color w:val="000000"/>
          <w:sz w:val="28"/>
        </w:rPr>
        <w:t>
      91. Вентиляционные шахты и прочие элементы оборудования, устанавливаемые на крышах, должны сочетаться по цвету и материалу с кровлей и фасадом здания. Не допускается использование оцинкованного металла.</w:t>
      </w:r>
    </w:p>
    <w:p>
      <w:pPr>
        <w:spacing w:after="0"/>
        <w:ind w:left="0"/>
        <w:jc w:val="both"/>
      </w:pPr>
      <w:r>
        <w:rPr>
          <w:rFonts w:ascii="Times New Roman"/>
          <w:b w:val="false"/>
          <w:i w:val="false"/>
          <w:color w:val="000000"/>
          <w:sz w:val="28"/>
        </w:rPr>
        <w:t>
      92. Необходимо окрашивать торцы зданий в цвет фасадов, полностью глухие торцы декорировать. Глухие торцы зданий, не имеющие культурной, исторической или художественной значимости, оформлять с помощью декоративной подсветки, вертикального озеленения, арт-объектов, муралов и мозаик.</w:t>
      </w:r>
    </w:p>
    <w:p>
      <w:pPr>
        <w:spacing w:after="0"/>
        <w:ind w:left="0"/>
        <w:jc w:val="both"/>
      </w:pPr>
      <w:r>
        <w:rPr>
          <w:rFonts w:ascii="Times New Roman"/>
          <w:b w:val="false"/>
          <w:i w:val="false"/>
          <w:color w:val="000000"/>
          <w:sz w:val="28"/>
        </w:rPr>
        <w:t>
      93. Существующие мозаики и рисунки, представляющие историческую или художественную ценность, уполномоченным органам или собственникам, обладающими вещными правами необходимо поддерживать объекты в надлежащем состоянии и не допускать ухудшение вида.</w:t>
      </w:r>
    </w:p>
    <w:p>
      <w:pPr>
        <w:spacing w:after="0"/>
        <w:ind w:left="0"/>
        <w:jc w:val="both"/>
      </w:pPr>
      <w:r>
        <w:rPr>
          <w:rFonts w:ascii="Times New Roman"/>
          <w:b w:val="false"/>
          <w:i w:val="false"/>
          <w:color w:val="000000"/>
          <w:sz w:val="28"/>
        </w:rPr>
        <w:t>
      94. Размещение муралов (граффити, стрит-арта), элементов городских пространств и декоративных деталей фасадов зданий осуществляется по согласованию с уполномоченным органом.</w:t>
      </w:r>
    </w:p>
    <w:bookmarkStart w:name="z12" w:id="10"/>
    <w:p>
      <w:pPr>
        <w:spacing w:after="0"/>
        <w:ind w:left="0"/>
        <w:jc w:val="left"/>
      </w:pPr>
      <w:r>
        <w:rPr>
          <w:rFonts w:ascii="Times New Roman"/>
          <w:b/>
          <w:i w:val="false"/>
          <w:color w:val="000000"/>
        </w:rPr>
        <w:t xml:space="preserve"> Глава 7. Ограждения</w:t>
      </w:r>
    </w:p>
    <w:bookmarkEnd w:id="10"/>
    <w:p>
      <w:pPr>
        <w:spacing w:after="0"/>
        <w:ind w:left="0"/>
        <w:jc w:val="both"/>
      </w:pPr>
      <w:r>
        <w:rPr>
          <w:rFonts w:ascii="Times New Roman"/>
          <w:b w:val="false"/>
          <w:i w:val="false"/>
          <w:color w:val="000000"/>
          <w:sz w:val="28"/>
        </w:rPr>
        <w:t>
      95. Ограждения состоят из модульных элементов, несущих стоек с элементами заполнения. Ограждения могут быть проницаемыми и сплошными.</w:t>
      </w:r>
    </w:p>
    <w:p>
      <w:pPr>
        <w:spacing w:after="0"/>
        <w:ind w:left="0"/>
        <w:jc w:val="both"/>
      </w:pPr>
      <w:r>
        <w:rPr>
          <w:rFonts w:ascii="Times New Roman"/>
          <w:b w:val="false"/>
          <w:i w:val="false"/>
          <w:color w:val="000000"/>
          <w:sz w:val="28"/>
        </w:rPr>
        <w:t>
      96. Ограждения должны быть стилистически едиными с окружающей средой и не создавать визуальных барьеров.</w:t>
      </w:r>
    </w:p>
    <w:p>
      <w:pPr>
        <w:spacing w:after="0"/>
        <w:ind w:left="0"/>
        <w:jc w:val="both"/>
      </w:pPr>
      <w:r>
        <w:rPr>
          <w:rFonts w:ascii="Times New Roman"/>
          <w:b w:val="false"/>
          <w:i w:val="false"/>
          <w:color w:val="000000"/>
          <w:sz w:val="28"/>
        </w:rPr>
        <w:t>
      97. Ограждения устанавливаются в случаях, когда это является необходимостью для эксплуатации зданий. В иных случаях необходимо использовать живые изгороди, деревья.</w:t>
      </w:r>
    </w:p>
    <w:p>
      <w:pPr>
        <w:spacing w:after="0"/>
        <w:ind w:left="0"/>
        <w:jc w:val="both"/>
      </w:pPr>
      <w:r>
        <w:rPr>
          <w:rFonts w:ascii="Times New Roman"/>
          <w:b w:val="false"/>
          <w:i w:val="false"/>
          <w:color w:val="000000"/>
          <w:sz w:val="28"/>
        </w:rPr>
        <w:t>
      98. При строительстве и установке ограждений, необходимо соблюдать следующие требования:</w:t>
      </w:r>
    </w:p>
    <w:p>
      <w:pPr>
        <w:spacing w:after="0"/>
        <w:ind w:left="0"/>
        <w:jc w:val="both"/>
      </w:pPr>
      <w:r>
        <w:rPr>
          <w:rFonts w:ascii="Times New Roman"/>
          <w:b w:val="false"/>
          <w:i w:val="false"/>
          <w:color w:val="000000"/>
          <w:sz w:val="28"/>
        </w:rPr>
        <w:t>
      1) При установке ограждений на рельефе следует обеспечить возможность крепления элементов к стойкам на разных уровнях.</w:t>
      </w:r>
    </w:p>
    <w:p>
      <w:pPr>
        <w:spacing w:after="0"/>
        <w:ind w:left="0"/>
        <w:jc w:val="both"/>
      </w:pPr>
      <w:r>
        <w:rPr>
          <w:rFonts w:ascii="Times New Roman"/>
          <w:b w:val="false"/>
          <w:i w:val="false"/>
          <w:color w:val="000000"/>
          <w:sz w:val="28"/>
        </w:rPr>
        <w:t>
      2) В качестве ограждений возможно использование подпорных стен и габионов, шумозащитных экранов.</w:t>
      </w:r>
    </w:p>
    <w:p>
      <w:pPr>
        <w:spacing w:after="0"/>
        <w:ind w:left="0"/>
        <w:jc w:val="both"/>
      </w:pPr>
      <w:r>
        <w:rPr>
          <w:rFonts w:ascii="Times New Roman"/>
          <w:b w:val="false"/>
          <w:i w:val="false"/>
          <w:color w:val="000000"/>
          <w:sz w:val="28"/>
        </w:rPr>
        <w:t>
      3) Высота сетчатых ограждений спортивных площадок составляет от 3 метров до 6 метров. Основание ограждения может быть выполнено в виде сплошной части высотой 1,2 метра.</w:t>
      </w:r>
    </w:p>
    <w:p>
      <w:pPr>
        <w:spacing w:after="0"/>
        <w:ind w:left="0"/>
        <w:jc w:val="both"/>
      </w:pPr>
      <w:r>
        <w:rPr>
          <w:rFonts w:ascii="Times New Roman"/>
          <w:b w:val="false"/>
          <w:i w:val="false"/>
          <w:color w:val="000000"/>
          <w:sz w:val="28"/>
        </w:rPr>
        <w:t>
      99. Не допускается располагать заборы и иные ограды перед главными фасадами зданий со стороны прилегающих к ним улиц, за исключением режимных и социальных объектов.</w:t>
      </w:r>
    </w:p>
    <w:p>
      <w:pPr>
        <w:spacing w:after="0"/>
        <w:ind w:left="0"/>
        <w:jc w:val="both"/>
      </w:pPr>
      <w:r>
        <w:rPr>
          <w:rFonts w:ascii="Times New Roman"/>
          <w:b w:val="false"/>
          <w:i w:val="false"/>
          <w:color w:val="000000"/>
          <w:sz w:val="28"/>
        </w:rPr>
        <w:t>
      100. Не допускается использование глухих заборов и иных оград для ограждения территории, за исключением индивидуальных жилых домов и режимных объектов.</w:t>
      </w:r>
    </w:p>
    <w:p>
      <w:pPr>
        <w:spacing w:after="0"/>
        <w:ind w:left="0"/>
        <w:jc w:val="both"/>
      </w:pPr>
      <w:r>
        <w:rPr>
          <w:rFonts w:ascii="Times New Roman"/>
          <w:b w:val="false"/>
          <w:i w:val="false"/>
          <w:color w:val="000000"/>
          <w:sz w:val="28"/>
        </w:rPr>
        <w:t>
      101. Установка пешеходных ограждений не допускается, за исключением мест с перепадами высоты рельефа. При этом высота ограждения составляет 1 метр.</w:t>
      </w:r>
    </w:p>
    <w:p>
      <w:pPr>
        <w:spacing w:after="0"/>
        <w:ind w:left="0"/>
        <w:jc w:val="both"/>
      </w:pPr>
      <w:r>
        <w:rPr>
          <w:rFonts w:ascii="Times New Roman"/>
          <w:b w:val="false"/>
          <w:i w:val="false"/>
          <w:color w:val="000000"/>
          <w:sz w:val="28"/>
        </w:rPr>
        <w:t>
      102. При строительстве и установке пешеходных ограждений, необходимо соблюдать следующие требования к элементам:</w:t>
      </w:r>
    </w:p>
    <w:p>
      <w:pPr>
        <w:spacing w:after="0"/>
        <w:ind w:left="0"/>
        <w:jc w:val="both"/>
      </w:pPr>
      <w:r>
        <w:rPr>
          <w:rFonts w:ascii="Times New Roman"/>
          <w:b w:val="false"/>
          <w:i w:val="false"/>
          <w:color w:val="000000"/>
          <w:sz w:val="28"/>
        </w:rPr>
        <w:t>
      1) Высота пешеходных ограждений составляет 1 метр, с частотой секций предотвращающих прохода детей, животных. Высота нижней продольной перекладины до фундамента составляет не менее 0,15 метра.</w:t>
      </w:r>
    </w:p>
    <w:p>
      <w:pPr>
        <w:spacing w:after="0"/>
        <w:ind w:left="0"/>
        <w:jc w:val="both"/>
      </w:pPr>
      <w:r>
        <w:rPr>
          <w:rFonts w:ascii="Times New Roman"/>
          <w:b w:val="false"/>
          <w:i w:val="false"/>
          <w:color w:val="000000"/>
          <w:sz w:val="28"/>
        </w:rPr>
        <w:t>
      2) Следует предусмотреть возможность крепления элементов к стойкам на разных уровнях поверхности. Начальные и концевые стойки оснащаются светоотражателями.</w:t>
      </w:r>
    </w:p>
    <w:p>
      <w:pPr>
        <w:spacing w:after="0"/>
        <w:ind w:left="0"/>
        <w:jc w:val="both"/>
      </w:pPr>
      <w:r>
        <w:rPr>
          <w:rFonts w:ascii="Times New Roman"/>
          <w:b w:val="false"/>
          <w:i w:val="false"/>
          <w:color w:val="000000"/>
          <w:sz w:val="28"/>
        </w:rPr>
        <w:t>
      103. Ограничители устанавливаются в виде плотной посадки кустарников, установки городской мебели, контейнерного озеленения, использование повышенного бордюра.</w:t>
      </w:r>
    </w:p>
    <w:p>
      <w:pPr>
        <w:spacing w:after="0"/>
        <w:ind w:left="0"/>
        <w:jc w:val="both"/>
      </w:pPr>
      <w:r>
        <w:rPr>
          <w:rFonts w:ascii="Times New Roman"/>
          <w:b w:val="false"/>
          <w:i w:val="false"/>
          <w:color w:val="000000"/>
          <w:sz w:val="28"/>
        </w:rPr>
        <w:t>
      104. При установке ограничителей, необходимо соблюдать требования соответствия к общему городскому облику, сочетаясь с архитектурным и ландшафтным стилем.</w:t>
      </w:r>
    </w:p>
    <w:p>
      <w:pPr>
        <w:spacing w:after="0"/>
        <w:ind w:left="0"/>
        <w:jc w:val="both"/>
      </w:pPr>
      <w:r>
        <w:rPr>
          <w:rFonts w:ascii="Times New Roman"/>
          <w:b w:val="false"/>
          <w:i w:val="false"/>
          <w:color w:val="000000"/>
          <w:sz w:val="28"/>
        </w:rPr>
        <w:t>
      105. Временные ограждения устанавливаются на срок не более 12 месяцев, а также подлежат своевременному ремонту или демонтажу по требованию уполномоченного органа.</w:t>
      </w:r>
    </w:p>
    <w:p>
      <w:pPr>
        <w:spacing w:after="0"/>
        <w:ind w:left="0"/>
        <w:jc w:val="both"/>
      </w:pPr>
      <w:r>
        <w:rPr>
          <w:rFonts w:ascii="Times New Roman"/>
          <w:b w:val="false"/>
          <w:i w:val="false"/>
          <w:color w:val="000000"/>
          <w:sz w:val="28"/>
        </w:rPr>
        <w:t>
      106. Временные ограждения устанавливаются для обустройства строительных площадок, для безопасности населения, во время городских мероприятий согласно Приложению 11 к Дизайн-коду.</w:t>
      </w:r>
    </w:p>
    <w:p>
      <w:pPr>
        <w:spacing w:after="0"/>
        <w:ind w:left="0"/>
        <w:jc w:val="both"/>
      </w:pPr>
      <w:r>
        <w:rPr>
          <w:rFonts w:ascii="Times New Roman"/>
          <w:b w:val="false"/>
          <w:i w:val="false"/>
          <w:color w:val="000000"/>
          <w:sz w:val="28"/>
        </w:rPr>
        <w:t>
      107. При установке временных ограждений, необходимо соблюдать следующие требования:</w:t>
      </w:r>
    </w:p>
    <w:p>
      <w:pPr>
        <w:spacing w:after="0"/>
        <w:ind w:left="0"/>
        <w:jc w:val="both"/>
      </w:pPr>
      <w:r>
        <w:rPr>
          <w:rFonts w:ascii="Times New Roman"/>
          <w:b w:val="false"/>
          <w:i w:val="false"/>
          <w:color w:val="000000"/>
          <w:sz w:val="28"/>
        </w:rPr>
        <w:t>
      1) ограждения должны быть модульными и транспортируемыми;</w:t>
      </w:r>
    </w:p>
    <w:p>
      <w:pPr>
        <w:spacing w:after="0"/>
        <w:ind w:left="0"/>
        <w:jc w:val="both"/>
      </w:pPr>
      <w:r>
        <w:rPr>
          <w:rFonts w:ascii="Times New Roman"/>
          <w:b w:val="false"/>
          <w:i w:val="false"/>
          <w:color w:val="000000"/>
          <w:sz w:val="28"/>
        </w:rPr>
        <w:t>
      2) ограждения должны быть выполнены по одному проекту, из одного материала и выкрашены в один цвет или цветовое решение мероприятия;</w:t>
      </w:r>
    </w:p>
    <w:p>
      <w:pPr>
        <w:spacing w:after="0"/>
        <w:ind w:left="0"/>
        <w:jc w:val="both"/>
      </w:pPr>
      <w:r>
        <w:rPr>
          <w:rFonts w:ascii="Times New Roman"/>
          <w:b w:val="false"/>
          <w:i w:val="false"/>
          <w:color w:val="000000"/>
          <w:sz w:val="28"/>
        </w:rPr>
        <w:t>
      3) размещать информацию о производимых строительно-монтажных работах для населения.</w:t>
      </w:r>
    </w:p>
    <w:bookmarkStart w:name="z13" w:id="11"/>
    <w:p>
      <w:pPr>
        <w:spacing w:after="0"/>
        <w:ind w:left="0"/>
        <w:jc w:val="left"/>
      </w:pPr>
      <w:r>
        <w:rPr>
          <w:rFonts w:ascii="Times New Roman"/>
          <w:b/>
          <w:i w:val="false"/>
          <w:color w:val="000000"/>
        </w:rPr>
        <w:t xml:space="preserve"> Глава 8. Освещение городского пространства</w:t>
      </w:r>
    </w:p>
    <w:bookmarkEnd w:id="11"/>
    <w:p>
      <w:pPr>
        <w:spacing w:after="0"/>
        <w:ind w:left="0"/>
        <w:jc w:val="both"/>
      </w:pPr>
      <w:r>
        <w:rPr>
          <w:rFonts w:ascii="Times New Roman"/>
          <w:b w:val="false"/>
          <w:i w:val="false"/>
          <w:color w:val="000000"/>
          <w:sz w:val="28"/>
        </w:rPr>
        <w:t>
      108. Элементы городского освещения должны быть интегрированы в дизайн защитного цоколя столбов и обеспечивать единый стиль городского освещения.</w:t>
      </w:r>
    </w:p>
    <w:p>
      <w:pPr>
        <w:spacing w:after="0"/>
        <w:ind w:left="0"/>
        <w:jc w:val="both"/>
      </w:pPr>
      <w:r>
        <w:rPr>
          <w:rFonts w:ascii="Times New Roman"/>
          <w:b w:val="false"/>
          <w:i w:val="false"/>
          <w:color w:val="000000"/>
          <w:sz w:val="28"/>
        </w:rPr>
        <w:t>
      109. Необходимо внедрение антивандальных решений в конструкцию, защитных экранов или устойчивых материалов, обеспечивающих единый стиль и долговечность. Опоры освещения необходимо выполнять с рельефной текстурой.</w:t>
      </w:r>
    </w:p>
    <w:p>
      <w:pPr>
        <w:spacing w:after="0"/>
        <w:ind w:left="0"/>
        <w:jc w:val="both"/>
      </w:pPr>
      <w:r>
        <w:rPr>
          <w:rFonts w:ascii="Times New Roman"/>
          <w:b w:val="false"/>
          <w:i w:val="false"/>
          <w:color w:val="000000"/>
          <w:sz w:val="28"/>
        </w:rPr>
        <w:t>
      110. Элементы освещения должны обеспечивать хорошую видимость в темное время суток, повышая безопасность передвижения пешеходов, средств микро мобильности и транспортных средств.</w:t>
      </w:r>
    </w:p>
    <w:p>
      <w:pPr>
        <w:spacing w:after="0"/>
        <w:ind w:left="0"/>
        <w:jc w:val="both"/>
      </w:pPr>
      <w:r>
        <w:rPr>
          <w:rFonts w:ascii="Times New Roman"/>
          <w:b w:val="false"/>
          <w:i w:val="false"/>
          <w:color w:val="000000"/>
          <w:sz w:val="28"/>
        </w:rPr>
        <w:t>
      111. Элементы городского освещения не должны засвечивать окна жилых домов.</w:t>
      </w:r>
    </w:p>
    <w:p>
      <w:pPr>
        <w:spacing w:after="0"/>
        <w:ind w:left="0"/>
        <w:jc w:val="both"/>
      </w:pPr>
      <w:r>
        <w:rPr>
          <w:rFonts w:ascii="Times New Roman"/>
          <w:b w:val="false"/>
          <w:i w:val="false"/>
          <w:color w:val="000000"/>
          <w:sz w:val="28"/>
        </w:rPr>
        <w:t>
      112. Высота вертикальных элементов освещения может варьироваться от 8 метров до 20 метров, для пешеходных тротуаров отдельными светильниками высотой от 4 до 7 метров согласно Приложению 12 к Дизайн-коду.</w:t>
      </w:r>
    </w:p>
    <w:p>
      <w:pPr>
        <w:spacing w:after="0"/>
        <w:ind w:left="0"/>
        <w:jc w:val="both"/>
      </w:pPr>
      <w:r>
        <w:rPr>
          <w:rFonts w:ascii="Times New Roman"/>
          <w:b w:val="false"/>
          <w:i w:val="false"/>
          <w:color w:val="000000"/>
          <w:sz w:val="28"/>
        </w:rPr>
        <w:t>
      113. Опоры освещения рекомендуется снабжать нижним кабельным соединением с ревизионным лючком для удобного обслуживания кабелей. Использование надземной прокладки электрических кабелей не допускается.</w:t>
      </w:r>
    </w:p>
    <w:p>
      <w:pPr>
        <w:spacing w:after="0"/>
        <w:ind w:left="0"/>
        <w:jc w:val="both"/>
      </w:pPr>
      <w:r>
        <w:rPr>
          <w:rFonts w:ascii="Times New Roman"/>
          <w:b w:val="false"/>
          <w:i w:val="false"/>
          <w:color w:val="000000"/>
          <w:sz w:val="28"/>
        </w:rPr>
        <w:t>
      114. Существующие надземные сети электрических кабелей должны перекладываться под землю.</w:t>
      </w:r>
    </w:p>
    <w:p>
      <w:pPr>
        <w:spacing w:after="0"/>
        <w:ind w:left="0"/>
        <w:jc w:val="both"/>
      </w:pPr>
      <w:r>
        <w:rPr>
          <w:rFonts w:ascii="Times New Roman"/>
          <w:b w:val="false"/>
          <w:i w:val="false"/>
          <w:color w:val="000000"/>
          <w:sz w:val="28"/>
        </w:rPr>
        <w:t>
      115. В городской среде необходимо устанавливать подсветку зданий и сооружений, малых архитектурных форм и уличной мебели.</w:t>
      </w:r>
    </w:p>
    <w:p>
      <w:pPr>
        <w:spacing w:after="0"/>
        <w:ind w:left="0"/>
        <w:jc w:val="both"/>
      </w:pPr>
      <w:r>
        <w:rPr>
          <w:rFonts w:ascii="Times New Roman"/>
          <w:b w:val="false"/>
          <w:i w:val="false"/>
          <w:color w:val="000000"/>
          <w:sz w:val="28"/>
        </w:rPr>
        <w:t>
      116. Необходимо использовать одноцветное, равномерное архитектурное освещение зданий и сооружений, малых архитектурных форм и уличной мебели.</w:t>
      </w:r>
    </w:p>
    <w:p>
      <w:pPr>
        <w:spacing w:after="0"/>
        <w:ind w:left="0"/>
        <w:jc w:val="both"/>
      </w:pPr>
      <w:r>
        <w:rPr>
          <w:rFonts w:ascii="Times New Roman"/>
          <w:b w:val="false"/>
          <w:i w:val="false"/>
          <w:color w:val="000000"/>
          <w:sz w:val="28"/>
        </w:rPr>
        <w:t>
      Интенсивность и направление архитектурного освещения не должно мешать пешеходам, пользователям средств микро мобильности и транспортным средствам.</w:t>
      </w:r>
    </w:p>
    <w:p>
      <w:pPr>
        <w:spacing w:after="0"/>
        <w:ind w:left="0"/>
        <w:jc w:val="both"/>
      </w:pPr>
      <w:r>
        <w:rPr>
          <w:rFonts w:ascii="Times New Roman"/>
          <w:b w:val="false"/>
          <w:i w:val="false"/>
          <w:color w:val="000000"/>
          <w:sz w:val="28"/>
        </w:rPr>
        <w:t>
      117. Муралы (граффити, стрит-арт), элементы городских пространств и декоративные детали фасадов зданий требуют обязательного освещения в ночное время суток согласно Приложению 13 к Дизайн-коду.</w:t>
      </w:r>
    </w:p>
    <w:p>
      <w:pPr>
        <w:spacing w:after="0"/>
        <w:ind w:left="0"/>
        <w:jc w:val="both"/>
      </w:pPr>
      <w:r>
        <w:rPr>
          <w:rFonts w:ascii="Times New Roman"/>
          <w:b w:val="false"/>
          <w:i w:val="false"/>
          <w:color w:val="000000"/>
          <w:sz w:val="28"/>
        </w:rPr>
        <w:t>
      118. Входные группы зданий и сооружений должны быть освещены светильниками над дверным проемом либо боковым освещением в ночное время суток.</w:t>
      </w:r>
    </w:p>
    <w:p>
      <w:pPr>
        <w:spacing w:after="0"/>
        <w:ind w:left="0"/>
        <w:jc w:val="both"/>
      </w:pPr>
      <w:r>
        <w:rPr>
          <w:rFonts w:ascii="Times New Roman"/>
          <w:b w:val="false"/>
          <w:i w:val="false"/>
          <w:color w:val="000000"/>
          <w:sz w:val="28"/>
        </w:rPr>
        <w:t>
      119. Другие требования, не урегулированные настоящим Дизайн-кодом регламентируются действующим законодательством 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Дизайн-коду </w:t>
            </w:r>
          </w:p>
        </w:tc>
      </w:tr>
    </w:tbl>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Дизайн-коду</w:t>
            </w:r>
          </w:p>
        </w:tc>
      </w:tr>
    </w:tbl>
    <w:p>
      <w:pPr>
        <w:spacing w:after="0"/>
        <w:ind w:left="0"/>
        <w:jc w:val="left"/>
      </w:pPr>
      <w:r>
        <w:br/>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Дизайн-коду</w:t>
            </w:r>
          </w:p>
        </w:tc>
      </w:tr>
    </w:tbl>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Дизайн-коду</w:t>
            </w:r>
          </w:p>
        </w:tc>
      </w:tr>
    </w:tbl>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Дизайн-коду</w:t>
            </w:r>
          </w:p>
        </w:tc>
      </w:tr>
    </w:tbl>
    <w:p>
      <w:pPr>
        <w:spacing w:after="0"/>
        <w:ind w:left="0"/>
        <w:jc w:val="left"/>
      </w:pPr>
      <w:r>
        <w:br/>
      </w:r>
    </w:p>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Дизайн-коду</w:t>
            </w:r>
          </w:p>
        </w:tc>
      </w:tr>
    </w:tbl>
    <w:p>
      <w:pPr>
        <w:spacing w:after="0"/>
        <w:ind w:left="0"/>
        <w:jc w:val="left"/>
      </w:pPr>
      <w:r>
        <w:br/>
      </w:r>
    </w:p>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Дизайн-коду</w:t>
            </w:r>
          </w:p>
        </w:tc>
      </w:tr>
    </w:tbl>
    <w:p>
      <w:pPr>
        <w:spacing w:after="0"/>
        <w:ind w:left="0"/>
        <w:jc w:val="left"/>
      </w:pPr>
      <w:r>
        <w:br/>
      </w:r>
    </w:p>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Дизайн-коду</w:t>
            </w:r>
          </w:p>
        </w:tc>
      </w:tr>
    </w:tbl>
    <w:p>
      <w:pPr>
        <w:spacing w:after="0"/>
        <w:ind w:left="0"/>
        <w:jc w:val="left"/>
      </w:pPr>
      <w:r>
        <w:br/>
      </w:r>
    </w:p>
    <w:p>
      <w:pPr>
        <w:spacing w:after="0"/>
        <w:ind w:left="0"/>
        <w:jc w:val="both"/>
      </w:pPr>
      <w:r>
        <w:drawing>
          <wp:inline distT="0" distB="0" distL="0" distR="0">
            <wp:extent cx="78105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80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 к Дизайн-коду</w:t>
            </w:r>
          </w:p>
        </w:tc>
      </w:tr>
    </w:tbl>
    <w:p>
      <w:pPr>
        <w:spacing w:after="0"/>
        <w:ind w:left="0"/>
        <w:jc w:val="left"/>
      </w:pPr>
      <w:r>
        <w:br/>
      </w:r>
    </w:p>
    <w:p>
      <w:pPr>
        <w:spacing w:after="0"/>
        <w:ind w:left="0"/>
        <w:jc w:val="both"/>
      </w:pPr>
      <w:r>
        <w:drawing>
          <wp:inline distT="0" distB="0" distL="0" distR="0">
            <wp:extent cx="78105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 к Дизайн-коду</w:t>
            </w:r>
          </w:p>
        </w:tc>
      </w:tr>
    </w:tbl>
    <w:p>
      <w:pPr>
        <w:spacing w:after="0"/>
        <w:ind w:left="0"/>
        <w:jc w:val="left"/>
      </w:pPr>
      <w:r>
        <w:br/>
      </w:r>
    </w:p>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 к Дизайн-коду</w:t>
            </w:r>
          </w:p>
        </w:tc>
      </w:tr>
    </w:tbl>
    <w:p>
      <w:pPr>
        <w:spacing w:after="0"/>
        <w:ind w:left="0"/>
        <w:jc w:val="left"/>
      </w:pPr>
      <w:r>
        <w:br/>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 к Дизайн-коду</w:t>
            </w:r>
          </w:p>
        </w:tc>
      </w:tr>
    </w:tbl>
    <w:p>
      <w:pPr>
        <w:spacing w:after="0"/>
        <w:ind w:left="0"/>
        <w:jc w:val="left"/>
      </w:pPr>
      <w:r>
        <w:br/>
      </w:r>
    </w:p>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 к Дизайн-коду</w:t>
            </w:r>
          </w:p>
        </w:tc>
      </w:tr>
    </w:tbl>
    <w:p>
      <w:pPr>
        <w:spacing w:after="0"/>
        <w:ind w:left="0"/>
        <w:jc w:val="left"/>
      </w:pPr>
      <w:r>
        <w:br/>
      </w:r>
    </w:p>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