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a42c" w14:textId="40ca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Махамбетского района</w:t>
      </w:r>
    </w:p>
    <w:p>
      <w:pPr>
        <w:spacing w:after="0"/>
        <w:ind w:left="0"/>
        <w:jc w:val="both"/>
      </w:pPr>
      <w:r>
        <w:rPr>
          <w:rFonts w:ascii="Times New Roman"/>
          <w:b w:val="false"/>
          <w:i w:val="false"/>
          <w:color w:val="000000"/>
          <w:sz w:val="28"/>
        </w:rPr>
        <w:t>Постановление акимата Махамбетского района Атырауской области от 13 мая 2025 года № 127. Зарегистрировано в Департаменте юстиции Атырауской области 16 мая 2025 года № 5277-06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Махамбетского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Махамбетского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Махамбетского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Махамбетского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Махамбетского района от 13</w:t>
            </w:r>
            <w:r>
              <w:br/>
            </w:r>
            <w:r>
              <w:rPr>
                <w:rFonts w:ascii="Times New Roman"/>
                <w:b w:val="false"/>
                <w:i w:val="false"/>
                <w:color w:val="000000"/>
                <w:sz w:val="20"/>
              </w:rPr>
              <w:t>мая 2025 года № 127</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Махамбетского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Махамбетского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Махамбетского района.</w:t>
      </w:r>
    </w:p>
    <w:bookmarkEnd w:id="6"/>
    <w:bookmarkStart w:name="z13"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3"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"Махамбетский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18"/>
    <w:bookmarkStart w:name="z25" w:id="19"/>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Махамбетского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обеспечивает разработку и утверждение единого архитектурного облика района.</w:t>
      </w:r>
    </w:p>
    <w:bookmarkEnd w:id="19"/>
    <w:bookmarkStart w:name="z26" w:id="20"/>
    <w:p>
      <w:pPr>
        <w:spacing w:after="0"/>
        <w:ind w:left="0"/>
        <w:jc w:val="both"/>
      </w:pPr>
      <w:r>
        <w:rPr>
          <w:rFonts w:ascii="Times New Roman"/>
          <w:b w:val="false"/>
          <w:i w:val="false"/>
          <w:color w:val="000000"/>
          <w:sz w:val="28"/>
        </w:rPr>
        <w:t>
      5. Акимат Махамбетского района организует следующие мероприятия:</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реконструкции, текущего или капитального ремонта наружных стен,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ремонта наружных стен, кровли многоквартирного жилого дома, направленные на придание единого архитектурного облика, не производятся.</w:t>
      </w:r>
    </w:p>
    <w:bookmarkEnd w:id="25"/>
    <w:bookmarkStart w:name="z32"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5" w:id="29"/>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вневедомоственной экспертизы,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№10722).</w:t>
      </w:r>
    </w:p>
    <w:bookmarkEnd w:id="29"/>
    <w:bookmarkStart w:name="z3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7"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9" w:id="33"/>
    <w:p>
      <w:pPr>
        <w:spacing w:after="0"/>
        <w:ind w:left="0"/>
        <w:jc w:val="left"/>
      </w:pPr>
      <w:r>
        <w:rPr>
          <w:rFonts w:ascii="Times New Roman"/>
          <w:b/>
          <w:i w:val="false"/>
          <w:color w:val="000000"/>
        </w:rPr>
        <w:t xml:space="preserve"> Глава 4. Заключительные положения</w:t>
      </w:r>
    </w:p>
    <w:bookmarkEnd w:id="33"/>
    <w:bookmarkStart w:name="z40"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Махамбетского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