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ba7d" w14:textId="c93b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19 апреля 2024 года № 151/13 "Об определении размера и порядка оказания жилищной помощи в Тайыншинском районе Северо-Казахстанской области"</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12 мая 2025 года № 318/23. Зарегистрировано в Департаменте юстиции Северо-Казахстанской области 14 мая 2025 года № 7924-15</w:t>
      </w:r>
    </w:p>
    <w:p>
      <w:pPr>
        <w:spacing w:after="0"/>
        <w:ind w:left="0"/>
        <w:jc w:val="both"/>
      </w:pPr>
      <w:bookmarkStart w:name="z4" w:id="0"/>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определении размера и порядка оказания жилищной помощи в Тайыншинском районе Северо-Казахстанской области" от 19 апреля 2024 года № 151/13 (зарегистрировано в Реестре государственной регистрации нормативных правовых актов за № 7750-15) следующие изменения:</w:t>
      </w:r>
    </w:p>
    <w:bookmarkEnd w:id="1"/>
    <w:bookmarkStart w:name="z6" w:id="2"/>
    <w:p>
      <w:pPr>
        <w:spacing w:after="0"/>
        <w:ind w:left="0"/>
        <w:jc w:val="both"/>
      </w:pPr>
      <w:r>
        <w:rPr>
          <w:rFonts w:ascii="Times New Roman"/>
          <w:b w:val="false"/>
          <w:i w:val="false"/>
          <w:color w:val="000000"/>
          <w:sz w:val="28"/>
        </w:rPr>
        <w:t>
      в приложении 1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"7. Для назначения жилищной помощи услугополучатель (либо его представитель по нотариально заверенной доверенности) обращается в некоммерческое акционерное общество Государственная корпорация "Правительство для граждан" (далее – Государственная корпорация) и/или на веб-портал "электронного правительства" с предоставлением следующих документов:</w:t>
      </w:r>
    </w:p>
    <w:bookmarkEnd w:id="3"/>
    <w:bookmarkStart w:name="z9" w:id="4"/>
    <w:p>
      <w:pPr>
        <w:spacing w:after="0"/>
        <w:ind w:left="0"/>
        <w:jc w:val="both"/>
      </w:pPr>
      <w:r>
        <w:rPr>
          <w:rFonts w:ascii="Times New Roman"/>
          <w:b w:val="false"/>
          <w:i w:val="false"/>
          <w:color w:val="000000"/>
          <w:sz w:val="28"/>
        </w:rPr>
        <w:t>
      1) в Государственную корпорацию:</w:t>
      </w:r>
    </w:p>
    <w:bookmarkEnd w:id="4"/>
    <w:bookmarkStart w:name="z10" w:id="5"/>
    <w:p>
      <w:pPr>
        <w:spacing w:after="0"/>
        <w:ind w:left="0"/>
        <w:jc w:val="both"/>
      </w:pPr>
      <w:r>
        <w:rPr>
          <w:rFonts w:ascii="Times New Roman"/>
          <w:b w:val="false"/>
          <w:i w:val="false"/>
          <w:color w:val="000000"/>
          <w:sz w:val="28"/>
        </w:rPr>
        <w:t>
      заявление по форме согласно приложению 1 к Правилам;</w:t>
      </w:r>
    </w:p>
    <w:bookmarkEnd w:id="5"/>
    <w:bookmarkStart w:name="z11" w:id="6"/>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6"/>
    <w:bookmarkStart w:name="z12" w:id="7"/>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bookmarkEnd w:id="7"/>
    <w:bookmarkStart w:name="z13" w:id="8"/>
    <w:p>
      <w:pPr>
        <w:spacing w:after="0"/>
        <w:ind w:left="0"/>
        <w:jc w:val="both"/>
      </w:pPr>
      <w:r>
        <w:rPr>
          <w:rFonts w:ascii="Times New Roman"/>
          <w:b w:val="false"/>
          <w:i w:val="false"/>
          <w:color w:val="000000"/>
          <w:sz w:val="28"/>
        </w:rPr>
        <w:t>
      справка о пенсионных отчислениях (за исключением сведений, получаемых из соответствующих государственных информационных систем);</w:t>
      </w:r>
    </w:p>
    <w:bookmarkEnd w:id="8"/>
    <w:bookmarkStart w:name="z14" w:id="9"/>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bookmarkEnd w:id="9"/>
    <w:bookmarkStart w:name="z15" w:id="10"/>
    <w:p>
      <w:pPr>
        <w:spacing w:after="0"/>
        <w:ind w:left="0"/>
        <w:jc w:val="both"/>
      </w:pPr>
      <w:r>
        <w:rPr>
          <w:rFonts w:ascii="Times New Roman"/>
          <w:b w:val="false"/>
          <w:i w:val="false"/>
          <w:color w:val="000000"/>
          <w:sz w:val="28"/>
        </w:rPr>
        <w:t>
      сведения об алиментах на детей и других иждивенцев;</w:t>
      </w:r>
    </w:p>
    <w:bookmarkEnd w:id="10"/>
    <w:bookmarkStart w:name="z16" w:id="11"/>
    <w:p>
      <w:pPr>
        <w:spacing w:after="0"/>
        <w:ind w:left="0"/>
        <w:jc w:val="both"/>
      </w:pPr>
      <w:r>
        <w:rPr>
          <w:rFonts w:ascii="Times New Roman"/>
          <w:b w:val="false"/>
          <w:i w:val="false"/>
          <w:color w:val="000000"/>
          <w:sz w:val="28"/>
        </w:rPr>
        <w:t>
      банковский счет;</w:t>
      </w:r>
    </w:p>
    <w:bookmarkEnd w:id="11"/>
    <w:bookmarkStart w:name="z17" w:id="12"/>
    <w:p>
      <w:pPr>
        <w:spacing w:after="0"/>
        <w:ind w:left="0"/>
        <w:jc w:val="both"/>
      </w:pPr>
      <w:r>
        <w:rPr>
          <w:rFonts w:ascii="Times New Roman"/>
          <w:b w:val="false"/>
          <w:i w:val="false"/>
          <w:color w:val="000000"/>
          <w:sz w:val="28"/>
        </w:rPr>
        <w:t>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12"/>
    <w:bookmarkStart w:name="z18" w:id="13"/>
    <w:p>
      <w:pPr>
        <w:spacing w:after="0"/>
        <w:ind w:left="0"/>
        <w:jc w:val="both"/>
      </w:pPr>
      <w:r>
        <w:rPr>
          <w:rFonts w:ascii="Times New Roman"/>
          <w:b w:val="false"/>
          <w:i w:val="false"/>
          <w:color w:val="000000"/>
          <w:sz w:val="28"/>
        </w:rPr>
        <w:t>
      счета о размерах ежемесячных взносов на содержание жилого дома (жилого здания);</w:t>
      </w:r>
    </w:p>
    <w:bookmarkEnd w:id="13"/>
    <w:bookmarkStart w:name="z19" w:id="14"/>
    <w:p>
      <w:pPr>
        <w:spacing w:after="0"/>
        <w:ind w:left="0"/>
        <w:jc w:val="both"/>
      </w:pPr>
      <w:r>
        <w:rPr>
          <w:rFonts w:ascii="Times New Roman"/>
          <w:b w:val="false"/>
          <w:i w:val="false"/>
          <w:color w:val="000000"/>
          <w:sz w:val="28"/>
        </w:rPr>
        <w:t>
      счета на потребление коммунальных услуг;</w:t>
      </w:r>
    </w:p>
    <w:bookmarkEnd w:id="14"/>
    <w:bookmarkStart w:name="z20" w:id="15"/>
    <w:p>
      <w:pPr>
        <w:spacing w:after="0"/>
        <w:ind w:left="0"/>
        <w:jc w:val="both"/>
      </w:pPr>
      <w:r>
        <w:rPr>
          <w:rFonts w:ascii="Times New Roman"/>
          <w:b w:val="false"/>
          <w:i w:val="false"/>
          <w:color w:val="000000"/>
          <w:sz w:val="28"/>
        </w:rPr>
        <w:t>
      квитанцию – счет за услуги телекоммуникаций или копия договора на оказание услуг связи;</w:t>
      </w:r>
    </w:p>
    <w:bookmarkEnd w:id="15"/>
    <w:bookmarkStart w:name="z21" w:id="16"/>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bookmarkEnd w:id="16"/>
    <w:bookmarkStart w:name="z22" w:id="17"/>
    <w:p>
      <w:pPr>
        <w:spacing w:after="0"/>
        <w:ind w:left="0"/>
        <w:jc w:val="both"/>
      </w:pPr>
      <w:r>
        <w:rPr>
          <w:rFonts w:ascii="Times New Roman"/>
          <w:b w:val="false"/>
          <w:i w:val="false"/>
          <w:color w:val="000000"/>
          <w:sz w:val="28"/>
        </w:rPr>
        <w:t>
      2) на веб-портал "электронного правительства":</w:t>
      </w:r>
    </w:p>
    <w:bookmarkEnd w:id="17"/>
    <w:bookmarkStart w:name="z23" w:id="18"/>
    <w:p>
      <w:pPr>
        <w:spacing w:after="0"/>
        <w:ind w:left="0"/>
        <w:jc w:val="both"/>
      </w:pPr>
      <w:r>
        <w:rPr>
          <w:rFonts w:ascii="Times New Roman"/>
          <w:b w:val="false"/>
          <w:i w:val="false"/>
          <w:color w:val="000000"/>
          <w:sz w:val="28"/>
        </w:rPr>
        <w:t>
       запрос в форме электронного документа, удостоверенный ЭЦП услугополучателя;</w:t>
      </w:r>
    </w:p>
    <w:bookmarkEnd w:id="18"/>
    <w:bookmarkStart w:name="z24" w:id="19"/>
    <w:p>
      <w:pPr>
        <w:spacing w:after="0"/>
        <w:ind w:left="0"/>
        <w:jc w:val="both"/>
      </w:pPr>
      <w:r>
        <w:rPr>
          <w:rFonts w:ascii="Times New Roman"/>
          <w:b w:val="false"/>
          <w:i w:val="false"/>
          <w:color w:val="000000"/>
          <w:sz w:val="28"/>
        </w:rPr>
        <w:t>
      электронная копия документов, подтверждающих доходы семьи;</w:t>
      </w:r>
    </w:p>
    <w:bookmarkEnd w:id="19"/>
    <w:bookmarkStart w:name="z25" w:id="20"/>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bookmarkEnd w:id="20"/>
    <w:bookmarkStart w:name="z26" w:id="21"/>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bookmarkEnd w:id="21"/>
    <w:bookmarkStart w:name="z27" w:id="22"/>
    <w:p>
      <w:pPr>
        <w:spacing w:after="0"/>
        <w:ind w:left="0"/>
        <w:jc w:val="both"/>
      </w:pPr>
      <w:r>
        <w:rPr>
          <w:rFonts w:ascii="Times New Roman"/>
          <w:b w:val="false"/>
          <w:i w:val="false"/>
          <w:color w:val="000000"/>
          <w:sz w:val="28"/>
        </w:rPr>
        <w:t>
      электронная копия банковского счета;</w:t>
      </w:r>
    </w:p>
    <w:bookmarkEnd w:id="22"/>
    <w:bookmarkStart w:name="z28" w:id="23"/>
    <w:p>
      <w:pPr>
        <w:spacing w:after="0"/>
        <w:ind w:left="0"/>
        <w:jc w:val="both"/>
      </w:pPr>
      <w:r>
        <w:rPr>
          <w:rFonts w:ascii="Times New Roman"/>
          <w:b w:val="false"/>
          <w:i w:val="false"/>
          <w:color w:val="000000"/>
          <w:sz w:val="28"/>
        </w:rPr>
        <w:t>
      электронная копия счета о размерах ежемесячных взносов на содержание жилого дома (жилого здания);</w:t>
      </w:r>
    </w:p>
    <w:bookmarkEnd w:id="23"/>
    <w:bookmarkStart w:name="z29" w:id="24"/>
    <w:p>
      <w:pPr>
        <w:spacing w:after="0"/>
        <w:ind w:left="0"/>
        <w:jc w:val="both"/>
      </w:pPr>
      <w:r>
        <w:rPr>
          <w:rFonts w:ascii="Times New Roman"/>
          <w:b w:val="false"/>
          <w:i w:val="false"/>
          <w:color w:val="000000"/>
          <w:sz w:val="28"/>
        </w:rPr>
        <w:t>
      электронная копия счета на потребление коммунальных услуг;</w:t>
      </w:r>
    </w:p>
    <w:bookmarkEnd w:id="24"/>
    <w:bookmarkStart w:name="z30" w:id="25"/>
    <w:p>
      <w:pPr>
        <w:spacing w:after="0"/>
        <w:ind w:left="0"/>
        <w:jc w:val="both"/>
      </w:pPr>
      <w:r>
        <w:rPr>
          <w:rFonts w:ascii="Times New Roman"/>
          <w:b w:val="false"/>
          <w:i w:val="false"/>
          <w:color w:val="000000"/>
          <w:sz w:val="28"/>
        </w:rPr>
        <w:t>
      электронная копия квитанции – счета за услуги телекоммуникаций или копию договора на оказание услуг связи;</w:t>
      </w:r>
    </w:p>
    <w:bookmarkEnd w:id="25"/>
    <w:bookmarkStart w:name="z31" w:id="26"/>
    <w:p>
      <w:pPr>
        <w:spacing w:after="0"/>
        <w:ind w:left="0"/>
        <w:jc w:val="both"/>
      </w:pPr>
      <w:r>
        <w:rPr>
          <w:rFonts w:ascii="Times New Roman"/>
          <w:b w:val="false"/>
          <w:i w:val="false"/>
          <w:color w:val="000000"/>
          <w:sz w:val="28"/>
        </w:rPr>
        <w:t>
      электронная копия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26"/>
    <w:bookmarkStart w:name="z32" w:id="27"/>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Республики Казахстан), принадлежащего им на праве собственности, услугодатель получает посредством информационных систем.</w:t>
      </w:r>
    </w:p>
    <w:bookmarkEnd w:id="27"/>
    <w:bookmarkStart w:name="z33" w:id="28"/>
    <w:p>
      <w:pPr>
        <w:spacing w:after="0"/>
        <w:ind w:left="0"/>
        <w:jc w:val="both"/>
      </w:pPr>
      <w:r>
        <w:rPr>
          <w:rFonts w:ascii="Times New Roman"/>
          <w:b w:val="false"/>
          <w:i w:val="false"/>
          <w:color w:val="000000"/>
          <w:sz w:val="28"/>
        </w:rPr>
        <w:t>
      При повторном обращении услугополучатель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истекший квартал перед обращением, за исключением, предусмотренного пунктом 11 Правил.</w:t>
      </w:r>
    </w:p>
    <w:bookmarkEnd w:id="28"/>
    <w:bookmarkStart w:name="z34" w:id="2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9"/>
    <w:bookmarkStart w:name="z35" w:id="30"/>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направляются статус о принятии запроса на назначение жилищной помощи, а также уведомление с указанием даты и времени получения результата государственной услуги.</w:t>
      </w:r>
    </w:p>
    <w:bookmarkEnd w:id="30"/>
    <w:bookmarkStart w:name="z36" w:id="31"/>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6 (шесть) рабочих дней.</w:t>
      </w:r>
    </w:p>
    <w:bookmarkEnd w:id="31"/>
    <w:bookmarkStart w:name="z37" w:id="32"/>
    <w:p>
      <w:pPr>
        <w:spacing w:after="0"/>
        <w:ind w:left="0"/>
        <w:jc w:val="both"/>
      </w:pPr>
      <w:r>
        <w:rPr>
          <w:rFonts w:ascii="Times New Roman"/>
          <w:b w:val="false"/>
          <w:i w:val="false"/>
          <w:color w:val="000000"/>
          <w:sz w:val="28"/>
        </w:rPr>
        <w:t>
      Решение о назначении жилищной помощи либо мотивированный ответ об отказе в предоставлении услуги принимается услугодателем.</w:t>
      </w:r>
    </w:p>
    <w:bookmarkEnd w:id="32"/>
    <w:bookmarkStart w:name="z38" w:id="33"/>
    <w:p>
      <w:pPr>
        <w:spacing w:after="0"/>
        <w:ind w:left="0"/>
        <w:jc w:val="both"/>
      </w:pPr>
      <w:r>
        <w:rPr>
          <w:rFonts w:ascii="Times New Roman"/>
          <w:b w:val="false"/>
          <w:i w:val="false"/>
          <w:color w:val="000000"/>
          <w:sz w:val="28"/>
        </w:rPr>
        <w:t>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40" w:id="34"/>
    <w:p>
      <w:pPr>
        <w:spacing w:after="0"/>
        <w:ind w:left="0"/>
        <w:jc w:val="both"/>
      </w:pPr>
      <w:r>
        <w:rPr>
          <w:rFonts w:ascii="Times New Roman"/>
          <w:b w:val="false"/>
          <w:i w:val="false"/>
          <w:color w:val="000000"/>
          <w:sz w:val="28"/>
        </w:rPr>
        <w:t>
      "11. Выплата жилищной помощи услугополучателям осуществляется услугодателем через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организации на соответствующие виды банковских операции, территориальные подразделения акционерного общества "Казпочта" путем перечисления начисленных сумм на лицевые счета получателей жилищной помощи. Перечисление денежных сумм на счета производится услугодателем ежемесячно за истекший месяц.".</w:t>
      </w:r>
    </w:p>
    <w:bookmarkEnd w:id="34"/>
    <w:bookmarkStart w:name="z41"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