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474e" w14:textId="39d4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города Алматы от 25 декабря 2024 года № 193 "Об утверждении Правил застройки территории города Алматы"</w:t>
      </w:r>
    </w:p>
    <w:p>
      <w:pPr>
        <w:spacing w:after="0"/>
        <w:ind w:left="0"/>
        <w:jc w:val="both"/>
      </w:pPr>
      <w:r>
        <w:rPr>
          <w:rFonts w:ascii="Times New Roman"/>
          <w:b w:val="false"/>
          <w:i w:val="false"/>
          <w:color w:val="000000"/>
          <w:sz w:val="28"/>
        </w:rPr>
        <w:t>Решение очередной XXXVI сессии маслихата города Алматы VIII созыва от 29 октября 2025 года № 247. Зарегистрировано в Министерстве юстиции Республики Казахстан 31 октября 2025 года № 37281</w:t>
      </w:r>
    </w:p>
    <w:p>
      <w:pPr>
        <w:spacing w:after="0"/>
        <w:ind w:left="0"/>
        <w:jc w:val="both"/>
      </w:pPr>
      <w:bookmarkStart w:name="z7" w:id="0"/>
      <w:r>
        <w:rPr>
          <w:rFonts w:ascii="Times New Roman"/>
          <w:b w:val="false"/>
          <w:i w:val="false"/>
          <w:color w:val="000000"/>
          <w:sz w:val="28"/>
        </w:rPr>
        <w:t>
      Маслихат города Алматы РЕШИЛ: </w:t>
      </w:r>
    </w:p>
    <w:bookmarkEnd w:id="0"/>
    <w:bookmarkStart w:name="z8" w:id="1"/>
    <w:p>
      <w:pPr>
        <w:spacing w:after="0"/>
        <w:ind w:left="0"/>
        <w:jc w:val="both"/>
      </w:pPr>
      <w:r>
        <w:rPr>
          <w:rFonts w:ascii="Times New Roman"/>
          <w:b w:val="false"/>
          <w:i w:val="false"/>
          <w:color w:val="000000"/>
          <w:sz w:val="28"/>
        </w:rPr>
        <w:t xml:space="preserve">
      1. Внести в решение маслихата города Алматы от 25 декабря 2024 года </w:t>
      </w:r>
      <w:r>
        <w:rPr>
          <w:rFonts w:ascii="Times New Roman"/>
          <w:b w:val="false"/>
          <w:i w:val="false"/>
          <w:color w:val="000000"/>
          <w:sz w:val="28"/>
        </w:rPr>
        <w:t>№ 193</w:t>
      </w:r>
      <w:r>
        <w:rPr>
          <w:rFonts w:ascii="Times New Roman"/>
          <w:b w:val="false"/>
          <w:i w:val="false"/>
          <w:color w:val="000000"/>
          <w:sz w:val="28"/>
        </w:rPr>
        <w:t xml:space="preserve"> "Об утверждении Правил застройки территории города Алматы" (зарегистрировано в Реестре государственной регистрации нормативных правовых актов за № 1797-02) следующие изменения:</w:t>
      </w:r>
    </w:p>
    <w:bookmarkEnd w:id="1"/>
    <w:bookmarkStart w:name="z9" w:id="2"/>
    <w:p>
      <w:pPr>
        <w:spacing w:after="0"/>
        <w:ind w:left="0"/>
        <w:jc w:val="both"/>
      </w:pPr>
      <w:r>
        <w:rPr>
          <w:rFonts w:ascii="Times New Roman"/>
          <w:b w:val="false"/>
          <w:i w:val="false"/>
          <w:color w:val="000000"/>
          <w:sz w:val="28"/>
        </w:rPr>
        <w:t>
      в Правилах застройки территории города Алматы, утвержденных указанным решением:</w:t>
      </w:r>
    </w:p>
    <w:bookmarkEnd w:id="2"/>
    <w:bookmarkStart w:name="z10" w:id="3"/>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End w:id="3"/>
    <w:bookmarkStart w:name="z11" w:id="4"/>
    <w:p>
      <w:pPr>
        <w:spacing w:after="0"/>
        <w:ind w:left="0"/>
        <w:jc w:val="both"/>
      </w:pPr>
      <w:r>
        <w:rPr>
          <w:rFonts w:ascii="Times New Roman"/>
          <w:b w:val="false"/>
          <w:i w:val="false"/>
          <w:color w:val="000000"/>
          <w:sz w:val="28"/>
        </w:rPr>
        <w:t>
      "12. Параметры зданий, расположенных южнее Талгарского тракта, Восточной объездной дороги (ВОАД), проспекта Аль-Фараби, улица Саина, улица Жандосова, (от улицы Саина до границы города), определить не более трех этажей плюс цокольный этаж без учета пожарного выхода на кровлю площадью не более 10 квадратных метров для всех видов застройки с максимальной высотой не более двенадцати метров до верха парапета (конька кровли) от средней планировочной отметки земли участка под зданиями, за исключением строительства объектов здравоохранения, образования, культуры и культовых, но не более 25 метров.</w:t>
      </w:r>
    </w:p>
    <w:bookmarkEnd w:id="4"/>
    <w:bookmarkStart w:name="z12" w:id="5"/>
    <w:p>
      <w:pPr>
        <w:spacing w:after="0"/>
        <w:ind w:left="0"/>
        <w:jc w:val="both"/>
      </w:pPr>
      <w:r>
        <w:rPr>
          <w:rFonts w:ascii="Times New Roman"/>
          <w:b w:val="false"/>
          <w:i w:val="false"/>
          <w:color w:val="000000"/>
          <w:sz w:val="28"/>
        </w:rPr>
        <w:t>
      В указанном квадрате не допускается строительство многоквартирных жилых домов и комплексов, за исключением объектов социальной инфраструктуры и туристического кластера, предусмотренных Генеральным планом, а также сегментация земельных участков с целевым назначением для сельскохозяйственного использования, строительство зданий в полосе горных прилавков, в том числе на площадках с крутизной склона 15 градусов и более.</w:t>
      </w:r>
    </w:p>
    <w:bookmarkEnd w:id="5"/>
    <w:bookmarkStart w:name="z13" w:id="6"/>
    <w:p>
      <w:pPr>
        <w:spacing w:after="0"/>
        <w:ind w:left="0"/>
        <w:jc w:val="both"/>
      </w:pPr>
      <w:r>
        <w:rPr>
          <w:rFonts w:ascii="Times New Roman"/>
          <w:b w:val="false"/>
          <w:i w:val="false"/>
          <w:color w:val="000000"/>
          <w:sz w:val="28"/>
        </w:rPr>
        <w:t>
      Крутизна склона, данные о рельефе и грунте земельного участка определяются геодезической сьемкой.</w:t>
      </w:r>
    </w:p>
    <w:bookmarkEnd w:id="6"/>
    <w:bookmarkStart w:name="z14" w:id="7"/>
    <w:p>
      <w:pPr>
        <w:spacing w:after="0"/>
        <w:ind w:left="0"/>
        <w:jc w:val="both"/>
      </w:pPr>
      <w:r>
        <w:rPr>
          <w:rFonts w:ascii="Times New Roman"/>
          <w:b w:val="false"/>
          <w:i w:val="false"/>
          <w:color w:val="000000"/>
          <w:sz w:val="28"/>
        </w:rPr>
        <w:t>
      Вышеуказанные нормы не распространяются на перепланировку (переоборудование, перепрофилирование) реконструкцию, модернизацию, капитальный ремонт жилых домов всех типов и объектов предпринимательской деятельности, осуществляемых в пределах существующих параметров.</w:t>
      </w:r>
    </w:p>
    <w:bookmarkEnd w:id="7"/>
    <w:bookmarkStart w:name="z15" w:id="8"/>
    <w:p>
      <w:pPr>
        <w:spacing w:after="0"/>
        <w:ind w:left="0"/>
        <w:jc w:val="both"/>
      </w:pPr>
      <w:r>
        <w:rPr>
          <w:rFonts w:ascii="Times New Roman"/>
          <w:b w:val="false"/>
          <w:i w:val="false"/>
          <w:color w:val="000000"/>
          <w:sz w:val="28"/>
        </w:rPr>
        <w:t>
      13. Проектирование и строительство осуществляется с учетом принципа сохранения исторически сложившейся городской среды и не допускается уплотняющая (точечная) застройка включая размещение объектов капитального строительства в сложившейся жилой застройке, создающих дополнительную нагрузку на существующую социальную, транспортную и инженерную инфраструктуру, за исключением объектов социальной инфраструктуры и туристического кластера, предусмотренных Генеральным планом, и подземных паркингов с условием восстановления снесенных площадок.".</w:t>
      </w:r>
    </w:p>
    <w:bookmarkEnd w:id="8"/>
    <w:bookmarkStart w:name="z16" w:id="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