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a7b4" w14:textId="c98a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Экибастузского городского маслихата от 13 октября 2023 года № 80/8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24 апреля 2025 года № 238/29. Зарегистрировано в Департаменте юстиции Павлодарской области 29 апреля 2025 года № 7660-14</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 от 13 октября 2023 года № 80/8 (зарегистрированно в Реестре государственной регистрации нормативных правовых актов под № 7405-14)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Экибастуза,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единовременно без учета дохода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2)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3)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4) ко Дню защитника Отечества - 7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5) ко Дню Победы - 9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6) ко Дню памяти жертв политических репрессий и голода - 31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7)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8)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9)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10)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Экибастуза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