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2dd4" w14:textId="f372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16 ноября 2023 года № 77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Карасуского района Костанайской области от 22 января 2025 года № 201. Зарегистрировано в Департаменте юстиции Костанайской области 31 января 2025 года № 10367-10</w:t>
      </w:r>
    </w:p>
    <w:p>
      <w:pPr>
        <w:spacing w:after="0"/>
        <w:ind w:left="0"/>
        <w:jc w:val="both"/>
      </w:pPr>
      <w:bookmarkStart w:name="z4" w:id="0"/>
      <w:r>
        <w:rPr>
          <w:rFonts w:ascii="Times New Roman"/>
          <w:b w:val="false"/>
          <w:i w:val="false"/>
          <w:color w:val="000000"/>
          <w:sz w:val="28"/>
        </w:rPr>
        <w:t>
      Карасуский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16 ноября 2023 года № 77 (зарегистрировано в Реестре государственной регистрации нормативных правовых актов под № 10087)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Карасуского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января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9" w:id="4"/>
    <w:p>
      <w:pPr>
        <w:spacing w:after="0"/>
        <w:ind w:left="0"/>
        <w:jc w:val="left"/>
      </w:pPr>
      <w:r>
        <w:rPr>
          <w:rFonts w:ascii="Times New Roman"/>
          <w:b/>
          <w:i w:val="false"/>
          <w:color w:val="000000"/>
        </w:rPr>
        <w:t xml:space="preserve"> 1. Общие положения</w:t>
      </w:r>
    </w:p>
    <w:bookmarkEnd w:id="4"/>
    <w:bookmarkStart w:name="z20"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Карасуского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5"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2"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3"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4"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5"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6"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7"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8"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9"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40"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1" w:id="26"/>
    <w:p>
      <w:pPr>
        <w:spacing w:after="0"/>
        <w:ind w:left="0"/>
        <w:jc w:val="both"/>
      </w:pPr>
      <w:r>
        <w:rPr>
          <w:rFonts w:ascii="Times New Roman"/>
          <w:b w:val="false"/>
          <w:i w:val="false"/>
          <w:color w:val="000000"/>
          <w:sz w:val="28"/>
        </w:rPr>
        <w:t>
      3) День защитника Отечества - 7 мая;</w:t>
      </w:r>
    </w:p>
    <w:bookmarkEnd w:id="26"/>
    <w:bookmarkStart w:name="z42" w:id="27"/>
    <w:p>
      <w:pPr>
        <w:spacing w:after="0"/>
        <w:ind w:left="0"/>
        <w:jc w:val="both"/>
      </w:pPr>
      <w:r>
        <w:rPr>
          <w:rFonts w:ascii="Times New Roman"/>
          <w:b w:val="false"/>
          <w:i w:val="false"/>
          <w:color w:val="000000"/>
          <w:sz w:val="28"/>
        </w:rPr>
        <w:t>
      4) День Победы - 9 мая;</w:t>
      </w:r>
    </w:p>
    <w:bookmarkEnd w:id="27"/>
    <w:bookmarkStart w:name="z43"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4"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5"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6"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7"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32"/>
    <w:bookmarkStart w:name="z48"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33"/>
    <w:bookmarkStart w:name="z49"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34"/>
    <w:bookmarkStart w:name="z50"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35"/>
    <w:bookmarkStart w:name="z51"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6"/>
    <w:bookmarkStart w:name="z52"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37"/>
    <w:bookmarkStart w:name="z53"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 месячных расчетных показателей;</w:t>
      </w:r>
    </w:p>
    <w:bookmarkEnd w:id="38"/>
    <w:bookmarkStart w:name="z54"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5"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40"/>
    <w:bookmarkStart w:name="z56"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41"/>
    <w:bookmarkStart w:name="z57"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42"/>
    <w:bookmarkStart w:name="z58"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43"/>
    <w:bookmarkStart w:name="z59"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44"/>
    <w:bookmarkStart w:name="z60" w:id="45"/>
    <w:p>
      <w:pPr>
        <w:spacing w:after="0"/>
        <w:ind w:left="0"/>
        <w:jc w:val="both"/>
      </w:pPr>
      <w:r>
        <w:rPr>
          <w:rFonts w:ascii="Times New Roman"/>
          <w:b w:val="false"/>
          <w:i w:val="false"/>
          <w:color w:val="000000"/>
          <w:sz w:val="28"/>
        </w:rPr>
        <w:t>
      3) День защитника Отечества - 7 мая:</w:t>
      </w:r>
    </w:p>
    <w:bookmarkEnd w:id="45"/>
    <w:bookmarkStart w:name="z61"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46"/>
    <w:bookmarkStart w:name="z62"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47"/>
    <w:bookmarkStart w:name="z63"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48"/>
    <w:bookmarkStart w:name="z64"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9"/>
    <w:bookmarkStart w:name="z65"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50"/>
    <w:bookmarkStart w:name="z66"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51"/>
    <w:bookmarkStart w:name="z67"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52"/>
    <w:bookmarkStart w:name="z68"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 месячных расчетных показателей;</w:t>
      </w:r>
    </w:p>
    <w:bookmarkEnd w:id="53"/>
    <w:bookmarkStart w:name="z69" w:id="54"/>
    <w:p>
      <w:pPr>
        <w:spacing w:after="0"/>
        <w:ind w:left="0"/>
        <w:jc w:val="both"/>
      </w:pPr>
      <w:r>
        <w:rPr>
          <w:rFonts w:ascii="Times New Roman"/>
          <w:b w:val="false"/>
          <w:i w:val="false"/>
          <w:color w:val="000000"/>
          <w:sz w:val="28"/>
        </w:rPr>
        <w:t>
      4) День Победы - 9 мая:</w:t>
      </w:r>
    </w:p>
    <w:bookmarkEnd w:id="54"/>
    <w:bookmarkStart w:name="z70" w:id="55"/>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55"/>
    <w:bookmarkStart w:name="z71" w:id="56"/>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 а именно:</w:t>
      </w:r>
    </w:p>
    <w:bookmarkEnd w:id="56"/>
    <w:bookmarkStart w:name="z72"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3"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4"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5"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6"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7"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8"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9"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80"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1"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2"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67"/>
    <w:bookmarkStart w:name="z83"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68"/>
    <w:bookmarkStart w:name="z84"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9"/>
    <w:bookmarkStart w:name="z85" w:id="70"/>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0"/>
    <w:bookmarkStart w:name="z86" w:id="7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1"/>
    <w:bookmarkStart w:name="z87" w:id="72"/>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2"/>
    <w:bookmarkStart w:name="z88" w:id="7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3"/>
    <w:bookmarkStart w:name="z89" w:id="7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74"/>
    <w:bookmarkStart w:name="z90" w:id="7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5"/>
    <w:bookmarkStart w:name="z91" w:id="7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76"/>
    <w:bookmarkStart w:name="z92"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3"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78"/>
    <w:bookmarkStart w:name="z94"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9"/>
    <w:bookmarkStart w:name="z95"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80"/>
    <w:bookmarkStart w:name="z96"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81"/>
    <w:bookmarkStart w:name="z97"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8"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9"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100"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1"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2"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3" w:id="88"/>
    <w:p>
      <w:pPr>
        <w:spacing w:after="0"/>
        <w:ind w:left="0"/>
        <w:jc w:val="both"/>
      </w:pPr>
      <w:r>
        <w:rPr>
          <w:rFonts w:ascii="Times New Roman"/>
          <w:b w:val="false"/>
          <w:i w:val="false"/>
          <w:color w:val="000000"/>
          <w:sz w:val="28"/>
        </w:rPr>
        <w:t>
      6) лицам, впервые приобретающим техническое и профессиональное, послесреднее либо высшее образование (далее – образование), за исключением лиц, являющихся обладателями образовательных грантов, получателями иных видов выплат из государственного бюджета, для оплаты обучения по фактической стоимости, связанной с получением образования в Республике Казахстан, перечисляемой двумя частями в течение учебного года, в размере не более 400 месячных расчетных показателей, 1 раз в полугодие, из числа:</w:t>
      </w:r>
    </w:p>
    <w:bookmarkEnd w:id="88"/>
    <w:bookmarkStart w:name="z104"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предшествующих дате обращения ниже величины прожиточного минимума, установленного по Костанайской области, очной формы обучения;</w:t>
      </w:r>
    </w:p>
    <w:bookmarkEnd w:id="89"/>
    <w:bookmarkStart w:name="z105"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6" w:id="91"/>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1"/>
    <w:bookmarkStart w:name="z107" w:id="92"/>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2"/>
    <w:bookmarkStart w:name="z108" w:id="93"/>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3"/>
    <w:bookmarkStart w:name="z109" w:id="94"/>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4"/>
    <w:bookmarkStart w:name="z110" w:id="95"/>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5"/>
    <w:bookmarkStart w:name="z111" w:id="96"/>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96"/>
    <w:bookmarkStart w:name="z112" w:id="97"/>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7"/>
    <w:bookmarkStart w:name="z113" w:id="98"/>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98"/>
    <w:bookmarkStart w:name="z114" w:id="99"/>
    <w:p>
      <w:pPr>
        <w:spacing w:after="0"/>
        <w:ind w:left="0"/>
        <w:jc w:val="both"/>
      </w:pPr>
      <w:r>
        <w:rPr>
          <w:rFonts w:ascii="Times New Roman"/>
          <w:b w:val="false"/>
          <w:i w:val="false"/>
          <w:color w:val="000000"/>
          <w:sz w:val="28"/>
        </w:rPr>
        <w:t>
      14)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9"/>
    <w:bookmarkStart w:name="z115" w:id="100"/>
    <w:p>
      <w:pPr>
        <w:spacing w:after="0"/>
        <w:ind w:left="0"/>
        <w:jc w:val="both"/>
      </w:pPr>
      <w:r>
        <w:rPr>
          <w:rFonts w:ascii="Times New Roman"/>
          <w:b w:val="false"/>
          <w:i w:val="false"/>
          <w:color w:val="000000"/>
          <w:sz w:val="28"/>
        </w:rPr>
        <w:t>
      15)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6" w:id="101"/>
    <w:p>
      <w:pPr>
        <w:spacing w:after="0"/>
        <w:ind w:left="0"/>
        <w:jc w:val="both"/>
      </w:pPr>
      <w:r>
        <w:rPr>
          <w:rFonts w:ascii="Times New Roman"/>
          <w:b w:val="false"/>
          <w:i w:val="false"/>
          <w:color w:val="000000"/>
          <w:sz w:val="28"/>
        </w:rPr>
        <w:t xml:space="preserve">
      16)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1"/>
    <w:bookmarkStart w:name="z117" w:id="102"/>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2"/>
    <w:bookmarkStart w:name="z118" w:id="103"/>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3"/>
    <w:bookmarkStart w:name="z119" w:id="10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w:t>
      </w:r>
    </w:p>
    <w:bookmarkEnd w:id="104"/>
    <w:bookmarkStart w:name="z120" w:id="10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5"/>
    <w:bookmarkStart w:name="z121" w:id="106"/>
    <w:p>
      <w:pPr>
        <w:spacing w:after="0"/>
        <w:ind w:left="0"/>
        <w:jc w:val="both"/>
      </w:pPr>
      <w:r>
        <w:rPr>
          <w:rFonts w:ascii="Times New Roman"/>
          <w:b w:val="false"/>
          <w:i w:val="false"/>
          <w:color w:val="000000"/>
          <w:sz w:val="28"/>
        </w:rPr>
        <w:t>
      3) наличие социально значимого заболевания;</w:t>
      </w:r>
    </w:p>
    <w:bookmarkEnd w:id="106"/>
    <w:bookmarkStart w:name="z122" w:id="10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7"/>
    <w:bookmarkStart w:name="z123" w:id="108"/>
    <w:p>
      <w:pPr>
        <w:spacing w:after="0"/>
        <w:ind w:left="0"/>
        <w:jc w:val="both"/>
      </w:pPr>
      <w:r>
        <w:rPr>
          <w:rFonts w:ascii="Times New Roman"/>
          <w:b w:val="false"/>
          <w:i w:val="false"/>
          <w:color w:val="000000"/>
          <w:sz w:val="28"/>
        </w:rPr>
        <w:t>
      5) сиротство, отсутствие родительского попечения;</w:t>
      </w:r>
    </w:p>
    <w:bookmarkEnd w:id="108"/>
    <w:bookmarkStart w:name="z124" w:id="10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9"/>
    <w:bookmarkStart w:name="z125" w:id="11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0"/>
    <w:bookmarkStart w:name="z126" w:id="11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1"/>
    <w:bookmarkStart w:name="z127" w:id="112"/>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2"/>
    <w:bookmarkStart w:name="z128" w:id="113"/>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3"/>
    <w:bookmarkStart w:name="z129" w:id="114"/>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4"/>
    <w:bookmarkStart w:name="z130" w:id="115"/>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5"/>
    <w:bookmarkStart w:name="z131" w:id="116"/>
    <w:p>
      <w:pPr>
        <w:spacing w:after="0"/>
        <w:ind w:left="0"/>
        <w:jc w:val="left"/>
      </w:pPr>
      <w:r>
        <w:rPr>
          <w:rFonts w:ascii="Times New Roman"/>
          <w:b/>
          <w:i w:val="false"/>
          <w:color w:val="000000"/>
        </w:rPr>
        <w:t xml:space="preserve"> 3. Порядок оказания социальной помощи</w:t>
      </w:r>
    </w:p>
    <w:bookmarkEnd w:id="116"/>
    <w:bookmarkStart w:name="z132" w:id="117"/>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7"/>
    <w:bookmarkStart w:name="z133" w:id="118"/>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8"/>
    <w:bookmarkStart w:name="z134" w:id="119"/>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9"/>
    <w:bookmarkStart w:name="z135" w:id="120"/>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20"/>
    <w:bookmarkStart w:name="z136" w:id="121"/>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1"/>
    <w:bookmarkStart w:name="z137" w:id="122"/>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2"/>
    <w:bookmarkStart w:name="z138" w:id="123"/>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3"/>
    <w:bookmarkStart w:name="z139" w:id="124"/>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4"/>
    <w:bookmarkStart w:name="z140" w:id="125"/>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5"/>
    <w:bookmarkStart w:name="z141" w:id="126"/>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6"/>
    <w:bookmarkStart w:name="z142" w:id="127"/>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7"/>
    <w:bookmarkStart w:name="z143" w:id="128"/>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28"/>
    <w:bookmarkStart w:name="z144" w:id="129"/>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9"/>
    <w:bookmarkStart w:name="z145" w:id="130"/>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30"/>
    <w:bookmarkStart w:name="z146" w:id="131"/>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31"/>
    <w:bookmarkStart w:name="z147" w:id="132"/>
    <w:p>
      <w:pPr>
        <w:spacing w:after="0"/>
        <w:ind w:left="0"/>
        <w:jc w:val="both"/>
      </w:pPr>
      <w:r>
        <w:rPr>
          <w:rFonts w:ascii="Times New Roman"/>
          <w:b w:val="false"/>
          <w:i w:val="false"/>
          <w:color w:val="000000"/>
          <w:sz w:val="28"/>
        </w:rPr>
        <w:t xml:space="preserve">
      Лица, указанные в подпунктах 10),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2"/>
    <w:bookmarkStart w:name="z148" w:id="133"/>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3"/>
    <w:bookmarkStart w:name="z149" w:id="13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4"/>
    <w:bookmarkStart w:name="z150" w:id="135"/>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5"/>
    <w:bookmarkStart w:name="z151" w:id="136"/>
    <w:p>
      <w:pPr>
        <w:spacing w:after="0"/>
        <w:ind w:left="0"/>
        <w:jc w:val="both"/>
      </w:pPr>
      <w:r>
        <w:rPr>
          <w:rFonts w:ascii="Times New Roman"/>
          <w:b w:val="false"/>
          <w:i w:val="false"/>
          <w:color w:val="000000"/>
          <w:sz w:val="28"/>
        </w:rPr>
        <w:t xml:space="preserve">
      Лица, указанные в подпункте 16)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6"/>
    <w:bookmarkStart w:name="z152" w:id="137"/>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7"/>
    <w:bookmarkStart w:name="z153" w:id="138"/>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8"/>
    <w:bookmarkStart w:name="z154" w:id="139"/>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9"/>
    <w:bookmarkStart w:name="z155" w:id="140"/>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0"/>
    <w:bookmarkStart w:name="z156" w:id="141"/>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1"/>
    <w:bookmarkStart w:name="z157" w:id="142"/>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42"/>
    <w:bookmarkStart w:name="z158" w:id="14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3"/>
    <w:bookmarkStart w:name="z159" w:id="144"/>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4"/>
    <w:bookmarkStart w:name="z160" w:id="145"/>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5"/>
    <w:bookmarkStart w:name="z161" w:id="146"/>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46"/>
    <w:bookmarkStart w:name="z162" w:id="147"/>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