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30e0" w14:textId="a34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Мунайлинского района от 11 октября 2022 года № 250-қ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27 марта 2025 года № 54-қ. Зарегистрировано Департаментом юстиции Мангистауской области 31 марта 2025 года № 4781-12</w:t>
      </w:r>
    </w:p>
    <w:p>
      <w:pPr>
        <w:spacing w:after="0"/>
        <w:ind w:left="0"/>
        <w:jc w:val="both"/>
      </w:pPr>
      <w:bookmarkStart w:name="z2" w:id="0"/>
      <w:r>
        <w:rPr>
          <w:rFonts w:ascii="Times New Roman"/>
          <w:b w:val="false"/>
          <w:i w:val="false"/>
          <w:color w:val="000000"/>
          <w:sz w:val="28"/>
        </w:rPr>
        <w:t>
      Акимат Мунайлинского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Мунайлинского района от 11 октября 2022 года № 250-қ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 (зарегистрировано в Реестре государственной регистрации нормативных правовых актов под № 30423)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r>
        <w:rPr>
          <w:rFonts w:ascii="Times New Roman"/>
          <w:b w:val="false"/>
          <w:i w:val="false"/>
          <w:color w:val="000000"/>
          <w:sz w:val="28"/>
        </w:rPr>
        <w:t xml:space="preserve">, утвержденные указанным постановлением изложить в новой редакции согласно приложению к настоящему постановлению. </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Мунайлинского района </w:t>
            </w:r>
            <w:r>
              <w:br/>
            </w:r>
            <w:r>
              <w:rPr>
                <w:rFonts w:ascii="Times New Roman"/>
                <w:b w:val="false"/>
                <w:i w:val="false"/>
                <w:color w:val="000000"/>
                <w:sz w:val="20"/>
              </w:rPr>
              <w:t>от 27 марта 2025 года № 54-қ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Мунайлинского района </w:t>
            </w:r>
            <w:r>
              <w:br/>
            </w:r>
            <w:r>
              <w:rPr>
                <w:rFonts w:ascii="Times New Roman"/>
                <w:b w:val="false"/>
                <w:i w:val="false"/>
                <w:color w:val="000000"/>
                <w:sz w:val="20"/>
              </w:rPr>
              <w:t>от 11 октября 2022 года № 250-қ</w:t>
            </w:r>
          </w:p>
        </w:tc>
      </w:tr>
    </w:tbl>
    <w:bookmarkStart w:name="z9"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w:t>
      </w:r>
    </w:p>
    <w:bookmarkEnd w:id="5"/>
    <w:bookmarkStart w:name="z12"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3" w:id="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7"/>
    <w:bookmarkStart w:name="z14" w:id="8"/>
    <w:p>
      <w:pPr>
        <w:spacing w:after="0"/>
        <w:ind w:left="0"/>
        <w:jc w:val="both"/>
      </w:pPr>
      <w:r>
        <w:rPr>
          <w:rFonts w:ascii="Times New Roman"/>
          <w:b w:val="false"/>
          <w:i w:val="false"/>
          <w:color w:val="000000"/>
          <w:sz w:val="28"/>
        </w:rPr>
        <w:t>
      3. Государственное учреждение "Мунайлинский районный отдел жилищно- 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w:t>
      </w:r>
    </w:p>
    <w:bookmarkEnd w:id="8"/>
    <w:bookmarkStart w:name="z15" w:id="9"/>
    <w:p>
      <w:pPr>
        <w:spacing w:after="0"/>
        <w:ind w:left="0"/>
        <w:jc w:val="both"/>
      </w:pPr>
      <w:r>
        <w:rPr>
          <w:rFonts w:ascii="Times New Roman"/>
          <w:b w:val="false"/>
          <w:i w:val="false"/>
          <w:color w:val="000000"/>
          <w:sz w:val="28"/>
        </w:rPr>
        <w:t>
      4. Государственное учреждение "Мунайлинский районный отдел строительства,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9"/>
    <w:bookmarkStart w:name="z16" w:id="10"/>
    <w:p>
      <w:pPr>
        <w:spacing w:after="0"/>
        <w:ind w:left="0"/>
        <w:jc w:val="both"/>
      </w:pPr>
      <w:r>
        <w:rPr>
          <w:rFonts w:ascii="Times New Roman"/>
          <w:b w:val="false"/>
          <w:i w:val="false"/>
          <w:color w:val="000000"/>
          <w:sz w:val="28"/>
        </w:rPr>
        <w:t>
      5. Акимат Мунайлинского района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Start w:name="z17"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половина от общего числа собственников квартир, нежилых помещений.</w:t>
      </w:r>
    </w:p>
    <w:bookmarkEnd w:id="11"/>
    <w:bookmarkStart w:name="z18"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2"/>
    <w:bookmarkStart w:name="z27"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13"/>
    <w:bookmarkStart w:name="z19" w:id="14"/>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20" w:id="1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5"/>
    <w:bookmarkStart w:name="z21" w:id="1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6"/>
    <w:bookmarkStart w:name="z22"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3" w:id="1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4" w:id="1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25" w:id="20"/>
    <w:p>
      <w:pPr>
        <w:spacing w:after="0"/>
        <w:ind w:left="0"/>
        <w:jc w:val="left"/>
      </w:pPr>
      <w:r>
        <w:rPr>
          <w:rFonts w:ascii="Times New Roman"/>
          <w:b/>
          <w:i w:val="false"/>
          <w:color w:val="000000"/>
        </w:rPr>
        <w:t xml:space="preserve"> Глава 4. Заключительные положения</w:t>
      </w:r>
    </w:p>
    <w:bookmarkEnd w:id="20"/>
    <w:bookmarkStart w:name="z26" w:id="2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Мунайлинскому району,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