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5da8" w14:textId="00f5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Аксуского района от 11 апреля 2022 года № 105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области Жетісу от 4 марта 2025 года № 93. Зарегистрировано Департаментом юстиции области Жетісу 6 марта 2025 года № 278-19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Аксуского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Аксуского района от 11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мероприятий по текущему или капитальному ремонту фасадов, крыш многоквартирных жилых домов, направленных на придание единого архитектурного облика Аксуского района" (зарегистрировано в Реестре государственной регистрации нормативных правовых актов за № 27625)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населенному пункту Аксуского района";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Аксуского района";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Аксуского района.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года№ 93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Аксуского района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Аксуского района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Аксуского района.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Аксуского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району единого архитектурного облика.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"Отдел строительства, архитектуры и градостроительства Аксуского района"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района.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Аксуского района организует следующие мероприятия: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решения, работы по ремонту наружных стен, кровли многоквартирного жилого дома, направленные на придание единого архитектурного облика не производятся.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(реконтсрукции, текущий или капитальный) осуществляется в соответствии с законодательством о государственных закупках.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или получения положительного заключения экспертизы проектно-сметной документации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осуществляется Отделом с привлечением лиц, осуществляющих технический надзор.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Аксуского района осуществляется из средств местного бюджета.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