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b2fb" w14:textId="112b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Курчатовского городского маслихата от 21 февраля 2024 года № 15/88-VIII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Курчатов"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22 мая 2025 года № 27/177-VIII. Зарегистрировано Департаментом юстиции области Абай 26 мая 2025 года № 454-18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21 февраля 2024 года №15/88-VIII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Курчатов" (зарегистрировано в Реестре государственной регистрации нормативных правовых актов под № 229-18)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десяти месячным расчетным показателям на каждого ребенка с инвалидностью ежемесячно в течение учебного года".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