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b61f" w14:textId="1c6b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"Об утверждении критериев оценки степени риска и проверочных листов в области аудиторской деятельности"</w:t>
      </w:r>
    </w:p>
    <w:p>
      <w:pPr>
        <w:spacing w:after="0"/>
        <w:ind w:left="0"/>
        <w:jc w:val="both"/>
      </w:pPr>
      <w:r>
        <w:rPr>
          <w:rFonts w:ascii="Times New Roman"/>
          <w:b w:val="false"/>
          <w:i w:val="false"/>
          <w:color w:val="000000"/>
          <w:sz w:val="28"/>
        </w:rPr>
        <w:t>Совместный приказ Министра финансов Республики Казахстан от 29 декабря 2025 года № 815 и Заместителя Премьер-Министра – Министра национальной экономики Республики Казахстан от 29 декабря 2025 года № 137. Зарегистрирован в Министерстве юстиции Республики Казахстан 31 декабря 2025 года № 37766</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"Об утверждении критериев оценки степени риска и проверочных листов в области аудиторской деятельности" (зарегистрирован в Реестре государственной регистрации нормативных правовых актов под № 19068)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"2) проверочный лист в области аудиторской деятельности в отношении аудиторских организаций для проведения проверки/профилактического контроля с посещением субъекта (объекта) контроля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2"/>
    <w:bookmarkStart w:name="z8" w:id="3"/>
    <w:p>
      <w:pPr>
        <w:spacing w:after="0"/>
        <w:ind w:left="0"/>
        <w:jc w:val="both"/>
      </w:pPr>
      <w:r>
        <w:rPr>
          <w:rFonts w:ascii="Times New Roman"/>
          <w:b w:val="false"/>
          <w:i w:val="false"/>
          <w:color w:val="000000"/>
          <w:sz w:val="28"/>
        </w:rPr>
        <w:t xml:space="preserve">
      3) проверочный лист в области аудиторской деятельности в отношении профессиональных аудиторских организаций для проведения проверки/профилактического контроля с посещением субъекта (объекта) контроля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риска в области аудиторской деятельности,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bookmarkStart w:name="z13" w:id="5"/>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 после дня его официального опубликования;</w:t>
      </w:r>
    </w:p>
    <w:bookmarkEnd w:id="7"/>
    <w:bookmarkStart w:name="z16" w:id="8"/>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"Единый реестр субъектов и объектов проверок";</w:t>
      </w:r>
    </w:p>
    <w:bookmarkEnd w:id="8"/>
    <w:bookmarkStart w:name="z17"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9"/>
    <w:bookmarkStart w:name="z18" w:id="10"/>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10"/>
    <w:bookmarkStart w:name="z19" w:id="11"/>
    <w:p>
      <w:pPr>
        <w:spacing w:after="0"/>
        <w:ind w:left="0"/>
        <w:jc w:val="both"/>
      </w:pPr>
      <w:r>
        <w:rPr>
          <w:rFonts w:ascii="Times New Roman"/>
          <w:b w:val="false"/>
          <w:i w:val="false"/>
          <w:color w:val="000000"/>
          <w:sz w:val="28"/>
        </w:rPr>
        <w:t>
      4. Настоящий совместный приказ вводится в действие по истечении шестидесяти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национальной экономики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bl>
    <w:p>
      <w:pPr>
        <w:spacing w:after="0"/>
        <w:ind w:left="0"/>
        <w:jc w:val="both"/>
      </w:pPr>
      <w:bookmarkStart w:name="z22"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137 и</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815</w:t>
            </w:r>
            <w:r>
              <w:br/>
            </w: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аудиторской деятельности,</w:t>
            </w:r>
            <w:r>
              <w:br/>
            </w:r>
            <w:r>
              <w:rPr>
                <w:rFonts w:ascii="Times New Roman"/>
                <w:b w:val="false"/>
                <w:i w:val="false"/>
                <w:color w:val="000000"/>
                <w:sz w:val="20"/>
              </w:rPr>
              <w:t>утвержденным совместным</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24" w:id="13"/>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профилактического контроля с посещением субъекта (объекта) контроля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при несоблюдении, которых устанавливается степень тяжести нарушения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xml:space="preserve">
Оказание услуг по профилю своей деятельности: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сопутствующие и другие услуги по стандартам аудита; </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внутренний 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проведение аудита специального назначения субъектов квазигосударственного сектора;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первичных статистических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
юридические услуги, связанные с аудиторской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правил внутреннего контроля и программ его осуществления в части соблюдения мер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стандартов аудита, Кодекса этики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по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 xml:space="preserve">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bookmarkEnd w:id="16"/>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bookmarkEnd w:id="17"/>
          <w:p>
            <w:pPr>
              <w:spacing w:after="20"/>
              <w:ind w:left="20"/>
              <w:jc w:val="both"/>
            </w:pP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bookmarkEnd w:id="18"/>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bookmarkEnd w:id="19"/>
          <w:p>
            <w:pPr>
              <w:spacing w:after="20"/>
              <w:ind w:left="20"/>
              <w:jc w:val="both"/>
            </w:pPr>
            <w:r>
              <w:rPr>
                <w:rFonts w:ascii="Times New Roman"/>
                <w:b w:val="false"/>
                <w:i w:val="false"/>
                <w:color w:val="000000"/>
                <w:sz w:val="20"/>
              </w:rPr>
              <w:t>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только аудиторов и аудиторских организаций, являющихся учредителями и участниками профессиональной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несогласия с результатами работы аудиторов и (или) аудиторских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
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Соблюдение порядка проведения внешнего контроля качества:</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по организации процедуры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и этапы проведения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 управления риском легализации (отмывания) доходов, полученных преступным путем, финансирования терроризма и финансированию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 идентификации клиентов;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
меры по реализации аудиторской организацией результатов прохождения внешнего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137 и</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815</w:t>
            </w:r>
            <w:r>
              <w:br/>
            </w: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аудиторской деятельности,</w:t>
            </w:r>
            <w:r>
              <w:br/>
            </w:r>
            <w:r>
              <w:rPr>
                <w:rFonts w:ascii="Times New Roman"/>
                <w:b w:val="false"/>
                <w:i w:val="false"/>
                <w:color w:val="000000"/>
                <w:sz w:val="20"/>
              </w:rPr>
              <w:t>утвержденным совместным</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78" w:id="2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аудиторской деятельности в соответствии со статьей 138 Предпринимательского кодекса Республики Казахстан в отношении аудиторских организаций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и обязательного аудита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аудиторской организацией порядка проведения аудита специального назначения субъектов квазигосударственного сектора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аудиторской организацией недостоверного аудиторского отчета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регистрации субъекта финансового мониторинга в информационной системе АФМ "WEB СФМ" Платформы финансового мониторинга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аудиторов в составе аудиторской организации не менее 2 (двух) человек (в том числе руководителя и (или) учредителей (участников)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аудитором своей деятельности в качестве аудитора только в составе одной аудиторской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3"/>
          <w:p>
            <w:pPr>
              <w:spacing w:after="20"/>
              <w:ind w:left="20"/>
              <w:jc w:val="both"/>
            </w:pPr>
            <w:r>
              <w:rPr>
                <w:rFonts w:ascii="Times New Roman"/>
                <w:b w:val="false"/>
                <w:i w:val="false"/>
                <w:color w:val="000000"/>
                <w:sz w:val="20"/>
              </w:rPr>
              <w:t>
Отсутствие в уставном капитале стопроцентной доли, принадлежащей аудитору (аудиторам) и (или) иностранной (иностранным)</w:t>
            </w:r>
          </w:p>
          <w:bookmarkEnd w:id="23"/>
          <w:p>
            <w:pPr>
              <w:spacing w:after="20"/>
              <w:ind w:left="20"/>
              <w:jc w:val="both"/>
            </w:pPr>
            <w:r>
              <w:rPr>
                <w:rFonts w:ascii="Times New Roman"/>
                <w:b w:val="false"/>
                <w:i w:val="false"/>
                <w:color w:val="000000"/>
                <w:sz w:val="20"/>
              </w:rPr>
              <w:t>
аудиторским организациям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руководителя филиала квалификационного свидетельства "аудитор" при создании филиала на территории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является субъектом среднего или крупного предпринимательства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137 и</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815</w:t>
            </w:r>
            <w:r>
              <w:br/>
            </w: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81" w:id="24"/>
    <w:p>
      <w:pPr>
        <w:spacing w:after="0"/>
        <w:ind w:left="0"/>
        <w:jc w:val="left"/>
      </w:pPr>
      <w:r>
        <w:rPr>
          <w:rFonts w:ascii="Times New Roman"/>
          <w:b/>
          <w:i w:val="false"/>
          <w:color w:val="000000"/>
        </w:rPr>
        <w:t xml:space="preserve">                                Проверочный лист</w:t>
      </w:r>
    </w:p>
    <w:bookmarkEnd w:id="24"/>
    <w:p>
      <w:pPr>
        <w:spacing w:after="0"/>
        <w:ind w:left="0"/>
        <w:jc w:val="both"/>
      </w:pPr>
      <w:bookmarkStart w:name="z82" w:id="25"/>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25"/>
    <w:p>
      <w:pPr>
        <w:spacing w:after="0"/>
        <w:ind w:left="0"/>
        <w:jc w:val="both"/>
      </w:pPr>
      <w:r>
        <w:rPr>
          <w:rFonts w:ascii="Times New Roman"/>
          <w:b w:val="false"/>
          <w:i w:val="false"/>
          <w:color w:val="000000"/>
          <w:sz w:val="28"/>
        </w:rPr>
        <w:t>Предпринимательского кодекса Республики Казахстан в отношении аудиторских</w:t>
      </w:r>
    </w:p>
    <w:p>
      <w:pPr>
        <w:spacing w:after="0"/>
        <w:ind w:left="0"/>
        <w:jc w:val="both"/>
      </w:pPr>
      <w:r>
        <w:rPr>
          <w:rFonts w:ascii="Times New Roman"/>
          <w:b w:val="false"/>
          <w:i w:val="false"/>
          <w:color w:val="000000"/>
          <w:sz w:val="28"/>
        </w:rPr>
        <w:t>организаций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_______дата 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6"/>
          <w:p>
            <w:pPr>
              <w:spacing w:after="20"/>
              <w:ind w:left="20"/>
              <w:jc w:val="both"/>
            </w:pPr>
            <w:r>
              <w:rPr>
                <w:rFonts w:ascii="Times New Roman"/>
                <w:b w:val="false"/>
                <w:i w:val="false"/>
                <w:color w:val="000000"/>
                <w:sz w:val="20"/>
              </w:rPr>
              <w:t>
Оказание услуг по профилю своей деятельности: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сопутствующие и другие услуги по стандартам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внутренний 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аудита специального назначения субъектов квазигосударственного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первичных статистических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
юридические услуги, связанные с аудиторской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правил внутреннего контроля и программ его осуществления в части соблюдения мер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7"/>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по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течении 2 (двух) лет из последних пяти;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28"/>
      <w:r>
        <w:rPr>
          <w:rFonts w:ascii="Times New Roman"/>
          <w:b w:val="false"/>
          <w:i w:val="false"/>
          <w:color w:val="000000"/>
          <w:sz w:val="28"/>
        </w:rPr>
        <w:t>
      Должностное (ые) лицо (а)_____________________________________________</w:t>
      </w:r>
    </w:p>
    <w:bookmarkEnd w:id="28"/>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Руководитель субъекта контроля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137 и</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815</w:t>
            </w:r>
            <w:r>
              <w:br/>
            </w: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15" w:id="29"/>
    <w:p>
      <w:pPr>
        <w:spacing w:after="0"/>
        <w:ind w:left="0"/>
        <w:jc w:val="left"/>
      </w:pPr>
      <w:r>
        <w:rPr>
          <w:rFonts w:ascii="Times New Roman"/>
          <w:b/>
          <w:i w:val="false"/>
          <w:color w:val="000000"/>
        </w:rPr>
        <w:t xml:space="preserve"> Проверочный лист</w:t>
      </w:r>
    </w:p>
    <w:bookmarkEnd w:id="29"/>
    <w:p>
      <w:pPr>
        <w:spacing w:after="0"/>
        <w:ind w:left="0"/>
        <w:jc w:val="both"/>
      </w:pPr>
      <w:bookmarkStart w:name="z116" w:id="30"/>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 xml:space="preserve">статьей 138 </w:t>
      </w:r>
      <w:r>
        <w:rPr>
          <w:rFonts w:ascii="Times New Roman"/>
          <w:b w:val="false"/>
          <w:i w:val="false"/>
          <w:color w:val="000000"/>
          <w:sz w:val="28"/>
        </w:rPr>
        <w:t xml:space="preserve">Предпринимательского кодекса Республики </w:t>
      </w:r>
    </w:p>
    <w:bookmarkEnd w:id="30"/>
    <w:p>
      <w:pPr>
        <w:spacing w:after="0"/>
        <w:ind w:left="0"/>
        <w:jc w:val="both"/>
      </w:pPr>
      <w:r>
        <w:rPr>
          <w:rFonts w:ascii="Times New Roman"/>
          <w:b w:val="false"/>
          <w:i w:val="false"/>
          <w:color w:val="000000"/>
          <w:sz w:val="28"/>
        </w:rPr>
        <w:t xml:space="preserve">Казахстан в отношении профессиональных аудиторских организаций </w:t>
      </w:r>
    </w:p>
    <w:p>
      <w:pPr>
        <w:spacing w:after="0"/>
        <w:ind w:left="0"/>
        <w:jc w:val="both"/>
      </w:pPr>
      <w:r>
        <w:rPr>
          <w:rFonts w:ascii="Times New Roman"/>
          <w:b w:val="false"/>
          <w:i w:val="false"/>
          <w:color w:val="000000"/>
          <w:sz w:val="28"/>
        </w:rPr>
        <w:t>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Государственный орган, назначивший проверку /профилактического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(объекта) контроля  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 дата   Наименование субъекта (объекта) контроля  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субъекта (объекта) контроля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1"/>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bookmarkEnd w:id="31"/>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2"/>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bookmarkEnd w:id="32"/>
          <w:p>
            <w:pPr>
              <w:spacing w:after="20"/>
              <w:ind w:left="20"/>
              <w:jc w:val="both"/>
            </w:pP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3"/>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bookmarkEnd w:id="33"/>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4"/>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bookmarkEnd w:id="34"/>
          <w:p>
            <w:pPr>
              <w:spacing w:after="20"/>
              <w:ind w:left="20"/>
              <w:jc w:val="both"/>
            </w:pPr>
            <w:r>
              <w:rPr>
                <w:rFonts w:ascii="Times New Roman"/>
                <w:b w:val="false"/>
                <w:i w:val="false"/>
                <w:color w:val="000000"/>
                <w:sz w:val="20"/>
              </w:rPr>
              <w:t>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только аудиторов и аудиторских организаций, являющихся учредителями и участниками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5"/>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несогласия с результатами работы аудиторов и (или) аудиторских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
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6"/>
          <w:p>
            <w:pPr>
              <w:spacing w:after="20"/>
              <w:ind w:left="20"/>
              <w:jc w:val="both"/>
            </w:pPr>
            <w:r>
              <w:rPr>
                <w:rFonts w:ascii="Times New Roman"/>
                <w:b w:val="false"/>
                <w:i w:val="false"/>
                <w:color w:val="000000"/>
                <w:sz w:val="20"/>
              </w:rPr>
              <w:t>
Соблюдение порядка проведения внешнего контроля качества:</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по организации процедуры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и этапы проведения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 управления риском легализации (отмывания) доходов, полученных преступным путем, финансирования терроризма и финансированию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 идентификации клиентов;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
меры по реализации аудиторской организацией результатов прохождения внешнего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 w:id="37"/>
      <w:r>
        <w:rPr>
          <w:rFonts w:ascii="Times New Roman"/>
          <w:b w:val="false"/>
          <w:i w:val="false"/>
          <w:color w:val="000000"/>
          <w:sz w:val="28"/>
        </w:rPr>
        <w:t>
      Должностное (ые) лицо (а)____________________________________________ ______________________________</w:t>
      </w:r>
    </w:p>
    <w:bookmarkEnd w:id="37"/>
    <w:p>
      <w:pPr>
        <w:spacing w:after="0"/>
        <w:ind w:left="0"/>
        <w:jc w:val="both"/>
      </w:pPr>
      <w:r>
        <w:rPr>
          <w:rFonts w:ascii="Times New Roman"/>
          <w:b w:val="false"/>
          <w:i w:val="false"/>
          <w:color w:val="000000"/>
          <w:sz w:val="28"/>
        </w:rPr>
        <w:t xml:space="preserve">       должность подпись _________________________________________________________________________________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Руководитель субъекта контроля 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137 и</w:t>
            </w:r>
            <w:r>
              <w:br/>
            </w:r>
            <w:r>
              <w:rPr>
                <w:rFonts w:ascii="Times New Roman"/>
                <w:b w:val="false"/>
                <w:i w:val="false"/>
                <w:color w:val="000000"/>
                <w:sz w:val="20"/>
              </w:rPr>
              <w:t>Министр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декабря 2025 года № 815</w:t>
            </w:r>
            <w:r>
              <w:br/>
            </w: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43" w:id="38"/>
    <w:p>
      <w:pPr>
        <w:spacing w:after="0"/>
        <w:ind w:left="0"/>
        <w:jc w:val="left"/>
      </w:pPr>
      <w:r>
        <w:rPr>
          <w:rFonts w:ascii="Times New Roman"/>
          <w:b/>
          <w:i w:val="false"/>
          <w:color w:val="000000"/>
        </w:rPr>
        <w:t xml:space="preserve">                                            Проверочный лист</w:t>
      </w:r>
    </w:p>
    <w:bookmarkEnd w:id="38"/>
    <w:p>
      <w:pPr>
        <w:spacing w:after="0"/>
        <w:ind w:left="0"/>
        <w:jc w:val="both"/>
      </w:pPr>
      <w:bookmarkStart w:name="z144" w:id="39"/>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w:t>
      </w:r>
    </w:p>
    <w:bookmarkEnd w:id="39"/>
    <w:p>
      <w:pPr>
        <w:spacing w:after="0"/>
        <w:ind w:left="0"/>
        <w:jc w:val="both"/>
      </w:pPr>
      <w:r>
        <w:rPr>
          <w:rFonts w:ascii="Times New Roman"/>
          <w:b w:val="false"/>
          <w:i w:val="false"/>
          <w:color w:val="000000"/>
          <w:sz w:val="28"/>
        </w:rPr>
        <w:t>Республики Казахстан в отношении аудиторских организаций</w:t>
      </w:r>
    </w:p>
    <w:p>
      <w:pPr>
        <w:spacing w:after="0"/>
        <w:ind w:left="0"/>
        <w:jc w:val="both"/>
      </w:pPr>
      <w:r>
        <w:rPr>
          <w:rFonts w:ascii="Times New Roman"/>
          <w:b w:val="false"/>
          <w:i w:val="false"/>
          <w:color w:val="000000"/>
          <w:sz w:val="28"/>
        </w:rPr>
        <w:t xml:space="preserve"> ___________________________________ 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 xml:space="preserve">       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 xml:space="preserve">       № _____ дата 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0"/>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w:t>
            </w:r>
          </w:p>
          <w:bookmarkEnd w:id="40"/>
          <w:p>
            <w:pPr>
              <w:spacing w:after="20"/>
              <w:ind w:left="20"/>
              <w:jc w:val="both"/>
            </w:pPr>
            <w:r>
              <w:rPr>
                <w:rFonts w:ascii="Times New Roman"/>
                <w:b w:val="false"/>
                <w:i w:val="false"/>
                <w:color w:val="000000"/>
                <w:sz w:val="20"/>
              </w:rPr>
              <w:t>
аудиторским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ранее возглавляемой им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1"/>
          <w:p>
            <w:pPr>
              <w:spacing w:after="20"/>
              <w:ind w:left="20"/>
              <w:jc w:val="both"/>
            </w:pPr>
            <w:r>
              <w:rPr>
                <w:rFonts w:ascii="Times New Roman"/>
                <w:b w:val="false"/>
                <w:i w:val="false"/>
                <w:color w:val="000000"/>
                <w:sz w:val="20"/>
              </w:rPr>
              <w:t>
Наличие у руководителя филиала квалификационного свидетельства</w:t>
            </w:r>
          </w:p>
          <w:bookmarkEnd w:id="41"/>
          <w:p>
            <w:pPr>
              <w:spacing w:after="20"/>
              <w:ind w:left="20"/>
              <w:jc w:val="both"/>
            </w:pPr>
            <w:r>
              <w:rPr>
                <w:rFonts w:ascii="Times New Roman"/>
                <w:b w:val="false"/>
                <w:i w:val="false"/>
                <w:color w:val="000000"/>
                <w:sz w:val="20"/>
              </w:rPr>
              <w:t>
"аудитор" при создании филиала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42"/>
      <w:r>
        <w:rPr>
          <w:rFonts w:ascii="Times New Roman"/>
          <w:b w:val="false"/>
          <w:i w:val="false"/>
          <w:color w:val="000000"/>
          <w:sz w:val="28"/>
        </w:rPr>
        <w:t>
             Должностное (ые) лицо (а)__________________________________________________________</w:t>
      </w:r>
    </w:p>
    <w:bookmarkEnd w:id="42"/>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Руководитель субъекта контроля ___________________________________________________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137 и</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815</w:t>
            </w:r>
            <w:r>
              <w:br/>
            </w: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49" w:id="43"/>
    <w:p>
      <w:pPr>
        <w:spacing w:after="0"/>
        <w:ind w:left="0"/>
        <w:jc w:val="left"/>
      </w:pPr>
      <w:r>
        <w:rPr>
          <w:rFonts w:ascii="Times New Roman"/>
          <w:b/>
          <w:i w:val="false"/>
          <w:color w:val="000000"/>
        </w:rPr>
        <w:t xml:space="preserve">                                Проверочный лист</w:t>
      </w:r>
    </w:p>
    <w:bookmarkEnd w:id="43"/>
    <w:p>
      <w:pPr>
        <w:spacing w:after="0"/>
        <w:ind w:left="0"/>
        <w:jc w:val="both"/>
      </w:pPr>
      <w:bookmarkStart w:name="z150" w:id="44"/>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44"/>
    <w:p>
      <w:pPr>
        <w:spacing w:after="0"/>
        <w:ind w:left="0"/>
        <w:jc w:val="both"/>
      </w:pPr>
      <w:r>
        <w:rPr>
          <w:rFonts w:ascii="Times New Roman"/>
          <w:b w:val="false"/>
          <w:i w:val="false"/>
          <w:color w:val="000000"/>
          <w:sz w:val="28"/>
        </w:rPr>
        <w:t xml:space="preserve">Предпринимательского кодекса Республики Казахстан в отношении </w:t>
      </w:r>
    </w:p>
    <w:p>
      <w:pPr>
        <w:spacing w:after="0"/>
        <w:ind w:left="0"/>
        <w:jc w:val="both"/>
      </w:pPr>
      <w:r>
        <w:rPr>
          <w:rFonts w:ascii="Times New Roman"/>
          <w:b w:val="false"/>
          <w:i w:val="false"/>
          <w:color w:val="000000"/>
          <w:sz w:val="28"/>
        </w:rPr>
        <w:t>профессиональных аудиторских организаций</w:t>
      </w:r>
    </w:p>
    <w:p>
      <w:pPr>
        <w:spacing w:after="0"/>
        <w:ind w:left="0"/>
        <w:jc w:val="both"/>
      </w:pPr>
      <w:bookmarkStart w:name="z151" w:id="45"/>
      <w:r>
        <w:rPr>
          <w:rFonts w:ascii="Times New Roman"/>
          <w:b w:val="false"/>
          <w:i w:val="false"/>
          <w:color w:val="000000"/>
          <w:sz w:val="28"/>
        </w:rPr>
        <w:t>
      _____________________________________________________________________</w:t>
      </w:r>
    </w:p>
    <w:bookmarkEnd w:id="45"/>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__________________ дата 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(Индивидуальный идентификационный номер), бизнес-идентификационный </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и участниками профессиональных организаций являются только аудиторы и аудиторские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6"/>
          <w:p>
            <w:pPr>
              <w:spacing w:after="20"/>
              <w:ind w:left="20"/>
              <w:jc w:val="both"/>
            </w:pPr>
            <w:r>
              <w:rPr>
                <w:rFonts w:ascii="Times New Roman"/>
                <w:b w:val="false"/>
                <w:i w:val="false"/>
                <w:color w:val="000000"/>
                <w:sz w:val="20"/>
              </w:rPr>
              <w:t>
Наличие в профессиональной организации рабочих органов:</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международным стандартам аудита и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повышению квалификации аудиторов;</w:t>
            </w:r>
          </w:p>
          <w:p>
            <w:pPr>
              <w:spacing w:after="20"/>
              <w:ind w:left="20"/>
              <w:jc w:val="both"/>
            </w:pPr>
            <w:r>
              <w:rPr>
                <w:rFonts w:ascii="Times New Roman"/>
                <w:b w:val="false"/>
                <w:i w:val="false"/>
                <w:color w:val="000000"/>
                <w:sz w:val="20"/>
              </w:rPr>
              <w:t>
 по вопросам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 w:id="47"/>
      <w:r>
        <w:rPr>
          <w:rFonts w:ascii="Times New Roman"/>
          <w:b w:val="false"/>
          <w:i w:val="false"/>
          <w:color w:val="000000"/>
          <w:sz w:val="28"/>
        </w:rPr>
        <w:t>
      Должностное (ые) лицо (а)__________________________________________________________________</w:t>
      </w:r>
    </w:p>
    <w:bookmarkEnd w:id="47"/>
    <w:p>
      <w:pPr>
        <w:spacing w:after="0"/>
        <w:ind w:left="0"/>
        <w:jc w:val="both"/>
      </w:pPr>
      <w:r>
        <w:rPr>
          <w:rFonts w:ascii="Times New Roman"/>
          <w:b w:val="false"/>
          <w:i w:val="false"/>
          <w:color w:val="000000"/>
          <w:sz w:val="28"/>
        </w:rPr>
        <w:t>_________________________________________________________________________________________</w:t>
      </w:r>
    </w:p>
    <w:p>
      <w:pPr>
        <w:spacing w:after="0"/>
        <w:ind w:left="0"/>
        <w:jc w:val="both"/>
      </w:pPr>
      <w:r>
        <w:rPr>
          <w:rFonts w:ascii="Times New Roman"/>
          <w:b w:val="false"/>
          <w:i w:val="false"/>
          <w:color w:val="000000"/>
          <w:sz w:val="28"/>
        </w:rPr>
        <w:t>должность подпись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Руководитель субъекта контроля  ___________________________________________________________</w:t>
      </w:r>
    </w:p>
    <w:p>
      <w:pPr>
        <w:spacing w:after="0"/>
        <w:ind w:left="0"/>
        <w:jc w:val="both"/>
      </w:pPr>
      <w:r>
        <w:rPr>
          <w:rFonts w:ascii="Times New Roman"/>
          <w:b w:val="false"/>
          <w:i w:val="false"/>
          <w:color w:val="000000"/>
          <w:sz w:val="28"/>
        </w:rPr>
        <w:t>должность подпись 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