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dbb28b" w14:textId="edbb28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Требований к правилам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товарных бирж, биржевых брокеров, осуществляющих свою деятельность на товарной бирже и совершающие сделки с биржевыми товарами, а также клиринговых центров товарных бирж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Агентства по защите и развитию конкуренции Республики Казахстан от 23 декабря 2025 года № 15. Зарегистрирован в Министерстве юстиции Республики Казахстан 24 декабря 2025 года № 37669.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 приказ предусматриваются изменения приказом Председателя Агентства по защите и развитию конкуренции РК от 15.06.2026 </w:t>
      </w:r>
      <w:r>
        <w:rPr>
          <w:rFonts w:ascii="Times New Roman"/>
          <w:b w:val="false"/>
          <w:i w:val="false"/>
          <w:color w:val="ff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3-2 </w:t>
      </w:r>
      <w:r>
        <w:rPr>
          <w:rFonts w:ascii="Times New Roman"/>
          <w:b w:val="false"/>
          <w:i w:val="false"/>
          <w:color w:val="000000"/>
          <w:sz w:val="28"/>
        </w:rPr>
        <w:t>статьи 11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Требования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товарных бирж, биржевых брокеров, осуществляющих свою деятельность на товарной бирже и совершающие сделки с биржевыми товарами, а также клиринговых центров товарных бирж.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биржевого контроля Агентства по защите и развитию конкуренции Республики Казахстан (далее – Агентство)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Агентства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Председателя Агентства.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 по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защите и развитию конкуренции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Омаров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Агентство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финансовому мониторингу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защите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развитию конкуренции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 15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Требования к правилам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товарных бирж, биржевых брокеров, осуществляющих свою деятельность на товарной бирже и совершающие сделки с биржевыми товарами, а также клиринговых центров товарных бирж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Требования к правилам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(далее – ПОД/ФТ/ФРОМУ) для товарных бирж, биржевых брокеров, осуществляющих свою деятельность на товарной бирже и совершающих сделки с биржевыми товарами, а также клиринговых центров товарных бирж (далее – Требования) разработаны в соответствии с пунктом 3-2 </w:t>
      </w:r>
      <w:r>
        <w:rPr>
          <w:rFonts w:ascii="Times New Roman"/>
          <w:b w:val="false"/>
          <w:i w:val="false"/>
          <w:color w:val="000000"/>
          <w:sz w:val="28"/>
        </w:rPr>
        <w:t>статьи 11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уничтожения" (далее – Закон) и Международными стандартами Группы разработки финансовых мер борьбы с отмыванием денег (ФАТФ).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Требованиях к субъектам финансового мониторинга относятся товарные биржи, биржевые брокеры, осуществляющие свою деятельность на товарной бирже и совершающие сделки с биржевыми товарами, а также клиринговые центры товарных бирж (далее – субъект).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Понятия, используемые в Требованиях, применяются в значениях,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Законе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Законе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товарных биржах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Для целей Требований используются следующие основные понятия: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личный кабинет – профиль пользователя (субъекта) на выделенных каналах связи уполномоченного органа в информационно-телекоммуникационной сети интернет, обеспечивающий электронное взаимодействие его пользователей (субъектов) с уполномоченным органом;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подозрительная деятельность клиента, подлежащая финансовому мониторингу – совокупность двух и более подозрительных операций клиента с деньгами и (или) иным имуществом, в отношении которых у субъекта возникают подозрения о том, что деньги и (или) иное имущество, используемые для их совершения, являются доходом от преступной деятельности, финансирования терроризма и финансирования распространения оружия массового уничтожения;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уполномоченный орган по финансовому мониторингу – государственный орган, осуществляющий финансовый мониторинг и принимающий иные меры по противодействию легализации (отмыванию) доходов, полученных преступным путем, финансированию терроризма, финансированию распространения оружия массового уничтожения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форма ФМ-1 – форма сведений и информации об операции и деятельности, подлежащей финансовому мониторингу, предусмотренными Правилами представления субъектами сведений и информации об операциях, подлежащих финансовому мониторингу, и признаков определения подозрительной операции,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финансовому мониторингу от 22 февраля 2022 года № 13 (зарегистрирован в Реестре государственной регистрации нормативных правовых актов за № 26924)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риски легализации (отмывания) доходов, полученных преступным путем, финансированию терроризма и финансированию распространения оружия массового уничтожения (далее – ОД/ФТ/ФРОМУ) – возможность преднамеренного или непреднамеренного вовлечения субъектов в процессы легализации ОД/ФТ/ФРОМУ или иную преступную деятельность;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управление рисками легализации (отмывания) доходов, полученных преступным путем, финансированию терроризма и финансированию распространения оружия массового уничтожения – совокупность принимаемых субъектами мер по мониторингу, выявлению рисков легализации ОД/ФТ/ФРОМУ, а также их минимизации (в отношении услуг клиентов);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антимонопольный орган – государственный орган, осуществляющий руководство в сфере защиты конкуренции и ограничения монополистической деятельности, контроль и регулирование деятельности, отнесенной к сфере государственной монополии;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безупречная деловая репутация – наличие фактов, подтверждающих профессионализм, добросовестность, включая отсутствие фактов совершения лицом противоправных действий (бездействия), которые привели к неплатежеспособности, повлекшей принудительную ликвидацию финансовой организации, либо к отнесению банка к категории неплатежеспособных банков, отсутствие неснятой или непогашенной судимости, в том числе отсутствие вступившего в законную силу судебного акта о применении уголовного наказания в виде лишения права занимать должность руководящего работника финансовой организации, банковского и (или) страхового холдинга и являться крупным участником (крупным акционером) финансовой организации пожизненно, а также отсутствие отношений с третьими лицами (контроля и влияния третьих лиц), действия которых способствовали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на основании сведений уполномоченного органа по финансовому мониторингу;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скоринговый модуль – автоматизированная система, содержащая в себе информацию из разных источников, данных для риск-идентификации клиента (его представителя), используемая субъектами на добровольной основе.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Внутренний контроль осуществляется в целях обеспечения выполнения субъектами требований Закона.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рамках организации внутреннего контроля в целях ПОД/ФТ/ФРОМУ субъектами обеспечивается: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разработка и принятие правил внутреннего контроля органом управления или исполнительным органом в соответствии с Требованиями, включающими проведение службой внутреннего аудита организации либо иным органом, уполномоченным на проведение внутреннего аудита, оценки эффективности внутреннего контроля в целях ПОД/ФТ/ФРОМУ, а также независимого аудита, в случае наличия решения на проведение независимого аудита;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личного кабинета.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Правила внутреннего контроля – утверждаются высшим руководством субъекта.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Правила внутреннего контроля (далее – ПВК) являются документом, который регламентирует организационные основы работы, направленные на ПОД/ФТ/ФРОМУ и устанавливает порядок действий субъектов в целях ПОД/ФТ/ФРОМУ.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ПВК разрабатываются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ПВК предусматривают назначение лица, ответственного за реализацию и соблюдение ПВК из числа руководящих работников субъектов или иных руководителей субъектов не ниже уровня руководителя соответствующего структурного подразделения, а также иные требования, предъявляемые к работникам субъектов, ответственным за реализацию и соблюдение ПВК, в том числе о наличии безупречной деловой репутации.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ПВК оформляются на бумажном носителе или в виде электронного документа. ПВК на бумажном носителе подписываются руководителем юридического лица (либо высшим органом управления), индивидуальным предпринимателем и заверяются печатью (при наличии). ПВК в виде электронного документа подписываются электронной цифровой подписью руководителя юридического лица (либо высшего органа управления), индивидуального предпринимателя.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Утвержденные руководителем юридического лица (либо высшим органом управления), индивидуальным предпринимателем ПВК закрепляются в личном кабинете субъекта на портале websfm.kz. 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внесения изменений и (или) дополнений в законодательство Республики Казахстан о ПОД/ФТ/ФРОМУ, с момента официального опубликования субъекты в течение 30 (тридцати) календарных дней вносят в ПВК соответствующие изменения и (или) дополнения.</w:t>
      </w:r>
    </w:p>
    <w:bookmarkEnd w:id="33"/>
    <w:bookmarkStart w:name="z40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Программа организации внутреннего контроля в целях ПОД/ФТ/ФРОМУ, включая требование о назначении лица, ответственного за реализацию и соблюдение ПВК, из числа руководящих работников субъектов или иных руководителей субъектов не ниже уровня руководителя соответствующего структурного подразделения, а также иные требования, предъявляемые к работникам субъектов, ответственным за реализацию и соблюдение ПВК, в том числе о наличии безупречной деловой репутации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Программа организации внутреннего контроля в целях ПОД/ФТ/ФРОМУ включает процедуры: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представления сведений и информации о подозрительной деятельности клиента, подлежащих финансовому мониторингу;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применения автоматизированных информационных систем и программных обеспечений, используемых субъектом для осуществления внутреннего контроля в целях ПОД/ФТ/ФРОМУ;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отказа клиентам в установлении деловых отношений и прекращения деловых отношений, отказа в проведении операции с деньгами и (или) иным имуществом, и принятия мер по замораживанию операций с деньгами и (или) иным имуществом;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признания операции и деятельности клиента подозрительной в соответствии с пунктами 3, 4, 5 </w:t>
      </w:r>
      <w:r>
        <w:rPr>
          <w:rFonts w:ascii="Times New Roman"/>
          <w:b w:val="false"/>
          <w:i w:val="false"/>
          <w:color w:val="000000"/>
          <w:sz w:val="28"/>
        </w:rPr>
        <w:t>статьи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предоставления сведений и информации об операциях и деятельности, подлежащих финансовому мониторингу, фактов отказа физическому лицу в установлении деловых отношений, прекращения деловых отношений с клиентом, отказа в проведении операции с деньгами и (или) иным имуществом в уполномоченный орган по финансовому мониторингу, включая указания и регламенты работы в автоматизированных информационных системах и программном обеспечении, используемых для передачи сведений, информации и документов в уполномоченный орган по финансовому мониторингу;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документального фиксирования сведений об операциях и деятельности, подлежащих финансовому мониторингу и направляемых в уполномоченный орган по финансовому мониторингу;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информирования работниками субъекта руководителя о ставших им известными фактах нарушения законодательства Республики Казахстан о ПОД/ФТ/ФРОМУ, допущенных работниками субъекта;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взаимодействия лица, ответственного за реализацию и соблюдение ПВК с другими подразделениями, персоналом организации, филиалами, уполномоченными органами и их должностными лицами, при осуществлении внутреннего контроля в целях ПОД/ФТ/ФРОМУ;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выполнения требований по ПОД/ФТ/ФРОМУ (при наличии), установленных юридическим лицом, которое имеет контроль над организацией;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подготовки и представления уполномоченным органам и должностным лицам организации управленческой отчетности по результатам проведения службой внутреннего аудита организации либо иным органом, уполномоченным на проведение внутреннего аудита, оценки эффективности внутреннего контроля в целях ПОД/ФТ/ФРОМУ, а также независимого аудита, в случае наличия решения на проведение независимого аудита;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идентификации клиента (его представителя) и бенефициарного собственника, в том числе особенности процедур применения упрощенных и усиленных мер проверки клиента (его представителя) и бенефициарного собственника, юридического лица-нерезидента, иной иностранной структуры без образования юридического лица;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признания операции и деятельности клиента, имеющей характеристики, соответствующие типологиям, схемам и способам легализации ОД/ФТ/ФРОМУ в качестве подозрительной;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оценки, определения, документального фиксирования и обновления результатов оценки рисков легализации ОД/ФТ/ФРОМУ;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разработки мер контроля, процедуры по управлению рисками легализации ОД/ФТ/ФРОМУ и снижению рисков легализации ОД/ФТ/ФРОМУ;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классификации своих клиентов с учетом степени риска легализации ОД/ФТ/ФРОМУ;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хранения всех документов и сведений, в том числе по разовым операциям, а также, полученных по результатам надлежащей проверки клиента (его представителя) и бенефициарного собственника, включая досье клиента (его представителя) и бенефициарного собственника и переписку с ним, не менее 5 (пяти) лет со дня прекращения деловых отношений с клиентом (его представителем) и бенефициарным собственником или после даты разовой сделки, с учетом возможности их использования в качестве доказательства в суде, чтобы они могли быть своевременно доступны уполномоченному органу по финансовому мониторингу, а также иным государственным органам в соответствии с их компетенцией;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фиксации информации о регулирующих и обязывающих полномочиях руководителя юридического лица;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обязательное документирование причин и оснований принятия решения о признании операции и деятельности подозрительной, с указанием ответственных лиц;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разработка процедур выявления и контроля операций с использованием новых технологий и инновационных инструментов (в том числе электронных платформ, онлайн-сервисов и иных цифровых решений);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назначение ответственного лица.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включение субъектом в программу дополнительных мер по организации внутреннего контроля в целях ПОД/ФТ/ФРОМУ.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 назначают лицо, ответственное за реализацию и соблюдение ПВК (далее – ответственный работник по ПОД/ФТ/ФРОМУ) из числа руководящих работников субъектов или иных руководителей субъектов не ниже уровня руководителя соответствующего структурного подразделения, а также работников субъектов ринга, ответственных за реализацию и соблюдение ПВК (далее – работник подразделения по ПОД/ФТ/ФРОМУ).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должность ответственного работника по ПОД/ФТ/ФРОМУ назначается лицо, имеющее: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стаж работы не менее одного года в сфере ПОД/ФТ/ФРОМУ, либо в соответствующих областях деятельности субъектов;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безупречную деловую репутацию;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сертификат о прохождении тестирования на знание законодательства Республики Казахстан о ПОД/ФТ/ФРОМУ.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должность работника подразделения по ПОД/ФТ/ФРОМУ назначается лицо, имеющее: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стаж работы не менее двух лет в сфере ПОД/ФТ/ФРОМУ, либо в соответствующих сферах деятельности субъектов;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безупречную деловую репутацию;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сертификат о прохождении тестирования на знание законодательства Республики Казахстан о ПОД/ФТ/ФРОМУ.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 вправе формировать или определять структурные подразделения, выполняющие функции по ПОД/ФТ/ФРОМУ в организации (с учетом особенностей ее структуры, штатной численности, клиентской базы и степени (уровня) рисков, связанных с клиентами организации и их операциями) и назначать работника подразделения по ПОД/ФТ/ФРОМУ.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Функции ответственного работника по ПОД/ФТ/ФРОМУ либо работника подразделения по ПОД/ФТ/ФРОМУ в соответствии с программой организации внутреннего контроля в целях ПОД/ФТ/ФРОМУ включают: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разработку и согласование ПВК, внесение изменений и (или) дополнений к ним с руководителем субъекта, а также мониторинг реализации и соблюдения ПВК;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организацию и контроль по представлению сведений и информации об операциях и деятельности, подлежащих финансовому мониторингу в уполномоченный орган по финансовому мониторингу в соответствии с Законом;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принятие решений о признании операций и (или) деятельности клиентов подозрительными;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принятие решений об отнесении операций и (или) деятельности клиентов к сложным, необычно крупным, к операциям, имеющим характеристики, соответствующие типологиям, схемам и способам легализации ОД/ФТ/ФРОМУ;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принятие решений о приостановлении либо об отказе от проведения операций клиентов и необходимости направления информации об операциях в уполномоченный орган по финансовому мониторингу;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принятие решений об установлении, продолжении либо прекращении деловых отношений с клиентами;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направление запросов руководителю субъекта для принятия решений об установлении, продолжении либо прекращении деловых отношений с клиентами;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документальное фиксирование решений, принятых в отношении операции и деятельности клиента (его представителя) и бенефициарного собственника;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формирование досье клиента на основании данных, полученных в результате реализации ПВК;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информирование руководителя субъекта о выявленных нарушениях ПВК;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принятие мер по улучшению системы управления рисками и внутреннего контроля;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обеспечение конфиденциальности сведений, полученных при осуществлении своих функций;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предоставление по запросу антимонопольного органа информации и документов, по вопросам соблюдения товарными биржами, биржевыми брокерами, осуществляющих свою деятельность на товарной бирже и совершающие сделки с биржевыми товарами, а также клиринговыми центрами товарных бирж законодательства Республики Казахстан о ПОД/ФТ/ФРОМУ;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предоставление в уполномоченный орган по финансовому мониторингу по его запросу информации, сведений и документов;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подготовка информации о результатах реализации ПВК и рекомендуемых мерах по улучшению системы управления рисками ОД/ФТ/ФРОМУ и внутреннего контроля ПОД/ФТ/ФРОМУ для формирования отчетов руководителю субъекта;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предложений по внедрению инновационных инструментов и технологий в целях совершенствования процессов ПОД/ФТ/ФРОМУ, включая автоматизацию анализа операций и (или) выявление нетипичных схем;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и контроль за обновлением сведений о клиентах и их бенефициарных собственниках на постоянной основе, включая определение периодичности и формата актуализации данных.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Субъекты в соответствии с возложенными функциями: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обеспечивают конфиденциальность сведений, полученных при осуществлении полномочий;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предоставляют информацию соответствующим государственным органам для осуществления контроля за исполнением законодательства Республики Казахстан о ПОД/ФТ/ФРОМУ;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предоставляют в уполномоченный орган по финансовому мониторингу по его запросу необходимую информацию, сведения и документы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пунктом 3-1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статьи 10 Закона. 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включение субъектами дополнительных функций и полномочий ответственного работника по ПОД/ФТ/ФРОМУ либо работника подразделения по ПОД/ФТ/ФРОМУ только в пределах, предусмотренных законодательством Республики Казахстан о ПОД/ФТ/ФРОМУ.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Субъектам и их работникам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запрещается информировать клиентов и иных лиц о мерах по ПОД/ФТ/ФРОМУ, принимаемых в отношении таких клиентов и иных лиц, за исключением случаев информирования клиентов о: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принятых мерах по замораживанию операций с деньгами и (или) иным имуществом;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отказе в установлении деловых отношений;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отказе от проведения операций с деньгами и (или) иным имуществом.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Запрет на информирование не распространяется на случаи уведомления клиентов и (или) предоставления информации, предусмотренные иными законами Республики Казахстан.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Кроме того, субъектам и их работникам не допускается извещать клиентов и иных лиц о получении перечня организаций и лиц, совершающих подозрительные операции с деньгами и (или) иным имуществом, поступившего в порядке, установленном законодательством Республики Казахстан.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При наличии в филиалах, представительствах и иных обособленных структурных подразделениях работников, на которых полностью или частично возложены функции и полномочия,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пунктами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Требований, координацию деятельности по вопросам ПОД/ФТ/ФРОМУ таких работников осуществляет ответственный работник по ПОД/ФТ/ФРОМУ.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субъект является головной организацией, ответственный работник по ПОД/ФТ/ФРОМУ осуществляет разработку, внесение изменений и (или) дополнений в ПВК на консолидированной основе, а также обеспечивает их выполнение структурными подразделениями (филиалами, дочерними организациями, представительствами).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Функции ответственного работника по ПОД/ФТ/ФРОМУ, а также работников подразделения по ПОД/ФТ/ФРОМУ, на которых возложены функции,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12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Требований, не совмещаются с функциями службы внутреннего аудита либо иного органа, уполномоченного на проведение внутреннего аудита, а также функциями подразделений, осуществляющих операционную (текущую) деятельность организации.</w:t>
      </w:r>
    </w:p>
    <w:bookmarkEnd w:id="98"/>
    <w:bookmarkStart w:name="z105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Программа управления рисками (низкий, высокий уровни риска) легализации ОД/ФТ/ФРОМУ, учитывающая риски клиентов и риски использования услуг в преступных целях, включая риск и использования технологических достижений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целях организации управления рисками легализации ОД/ФТ/ФРОМУ субъекты разрабатывают программу управления рисками легализации ОД/ФТ/ФРОМУ.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Программа управления рисками предусматривает оценку рисков клиента по одной или по совокупности следующих категорий рисков: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риски, связанные со странами и отдельными географическими территориями;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риски, связанные с клиентами;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риски, связанные с продуктами, услугами, каналами поставок и операциями (сделками), совершаемыми клиентом.</w:t>
      </w:r>
    </w:p>
    <w:bookmarkEnd w:id="104"/>
    <w:bookmarkStart w:name="z1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 вправе разрабатывать дополнительные категории рисков.</w:t>
      </w:r>
    </w:p>
    <w:bookmarkEnd w:id="105"/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Программа управления рисками легализации ОД/ФТ/ФРОМУ включает, но не ограничивается:</w:t>
      </w:r>
    </w:p>
    <w:bookmarkEnd w:id="106"/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порядок организации управления рисками легализации ОД/ФТ/ФРОМУ субъекта, в том числе в разрезе его структурных подразделений (при наличии);</w:t>
      </w:r>
    </w:p>
    <w:bookmarkEnd w:id="107"/>
    <w:bookmarkStart w:name="z1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методику оценки рисков легализации ОД/ФТ/ФРОМУ с учетом основных категорий рисков (по типу клиента, страновому риску и риску услуг/продуктов, и (или) способа ее (его) предоставления) в отношении уровня риска клиента, а также степени подверженности услуг (продуктов) субъекта рискам легализации ОД/ФТ/ФРОМУ;</w:t>
      </w:r>
    </w:p>
    <w:bookmarkEnd w:id="108"/>
    <w:bookmarkStart w:name="z11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порядок осуществления регулярного мониторинга, анализа и контроля за рисками клиентов и степенью подверженности продуктов (услуг) субъекта рискам легализации ОД/ФТ/ФРОМУ, предусматривающий перечень предупредительных мероприятий, порядок и сроки их проведения, контроль за результатами в соответствии с принятыми мерами;</w:t>
      </w:r>
    </w:p>
    <w:bookmarkEnd w:id="109"/>
    <w:bookmarkStart w:name="z11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порядок присвоения, сроки и основания для пересмотра уровней рисков клиентов;</w:t>
      </w:r>
    </w:p>
    <w:bookmarkEnd w:id="110"/>
    <w:bookmarkStart w:name="z11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разработку собственных схем и способов ОД/ФТ/ФРОМУ;</w:t>
      </w:r>
    </w:p>
    <w:bookmarkEnd w:id="111"/>
    <w:bookmarkStart w:name="z1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разработку собственных сценариев и критериев риска ОД/ФТ/ФРОМУ.</w:t>
      </w:r>
    </w:p>
    <w:bookmarkEnd w:id="112"/>
    <w:bookmarkStart w:name="z11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 на ежегодной основе осуществляют оценку степени подверженности услуг субъектов рискам легализации ОД/ФТ/ФРОМУ, с учетом информации из отчета рисков легализации ОД/ФТ/ФРОМУ и следующих специфических категорий рисков: риск по типу клиентов, страновой (географический) риск, риск услуги и (или) способа ее (его) предоставления.</w:t>
      </w:r>
    </w:p>
    <w:bookmarkEnd w:id="113"/>
    <w:bookmarkStart w:name="z12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степени подверженности услуг (продуктов) субъектов рискам легализации ОД/ФТ/ФРОМУ сопровождается описанием возможных мероприятий, направленных на минимизацию выявленных рисков, включая изменение процедур идентификации и мониторинга операций и (или) деятельности клиентов, изменение условий предоставления услуг (продуктов), отказ от предоставления услуг (продуктов).</w:t>
      </w:r>
    </w:p>
    <w:bookmarkEnd w:id="114"/>
    <w:bookmarkStart w:name="z12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оценки рисков и план по их минимизации предоставляются по запросу антимонопольного органа и публикуются на интернет-ресурсе уполномоченного органа по финансовому мониторингу.</w:t>
      </w:r>
    </w:p>
    <w:bookmarkEnd w:id="115"/>
    <w:bookmarkStart w:name="z12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Субъекты осуществляют оценку странового (географического) риска, связанного с ведением деятельности в иностранных государствах, указанных в настоящем пункте, предоставлением услуг (продуктов) клиентам из таких иностранных государств и осуществлением операций с деньгами и (или) иным имуществом с участием таких иностранных государств.</w:t>
      </w:r>
    </w:p>
    <w:bookmarkEnd w:id="116"/>
    <w:bookmarkStart w:name="z12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Иностранные государства, операции и деятельности, с которыми повышают риск легализации ОД/ФТ/ФРОМУ, включают следующие факторы, но не ограничиваются:</w:t>
      </w:r>
    </w:p>
    <w:bookmarkEnd w:id="117"/>
    <w:bookmarkStart w:name="z12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иностранные государства (территории), включенные в перечень государств (территорий), не выполняющих либо недостаточно выполняющих рекомендации Группы разработки финансовых мер борьбы с отмыванием денег (ФAТФ), составляемый уполномоченным органом по финансовому мониторингу;</w:t>
      </w:r>
    </w:p>
    <w:bookmarkEnd w:id="118"/>
    <w:bookmarkStart w:name="z12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иностранные государства (территории), в отношении которых применяются международные санкции (эмбарго), принятые резолюциями Совета Безопасности Организации Объединенных Наций (далее - ООН);</w:t>
      </w:r>
    </w:p>
    <w:bookmarkEnd w:id="119"/>
    <w:bookmarkStart w:name="z12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иностранные государства (территории), включенные в перечень офшорных зон для целей банковской и страховой деятельности, деятельности профессиональных участников рынка ценных бумаг и иных лицензируемых видов деятельности на рынке ценных бумаг, деятельности акционерных инвестиционных фондов и деятельности организаций, осуществляющих микрофинансовую деятельность, установленный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24 февраля 2020 года № 8 (зарегистрирован в Реестре государственной регистрации нормативных правовых актов за № 20095);</w:t>
      </w:r>
    </w:p>
    <w:bookmarkEnd w:id="120"/>
    <w:bookmarkStart w:name="z12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иностранные государства (территории), определенные субъектами в качестве представляющих высокий риск легализации ОД/ФТ/ФРОМУ на основе других факторов (сведений об уровне коррупции, незаконного производства, оборота и (или) транзита наркотиков, сведений о поддержке международного терроризма и другое).</w:t>
      </w:r>
    </w:p>
    <w:bookmarkEnd w:id="121"/>
    <w:bookmarkStart w:name="z12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Ссылки на перечни таких государств (территорий) по данным ООН и международных организаций размещаются на официальном интернет-ресурсе уполномоченного органа по финансовому мониторингу.</w:t>
      </w:r>
    </w:p>
    <w:bookmarkEnd w:id="122"/>
    <w:bookmarkStart w:name="z12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оказании услуг на товарных биржах, брокерских и клиринговых операциях субъекты учитывают страновой риск не только в отношении клиентов, но и в отношении контрагентов по сделкам, биржевых посредников, бенефициарных собственников участников торгов.</w:t>
      </w:r>
    </w:p>
    <w:bookmarkEnd w:id="123"/>
    <w:bookmarkStart w:name="z13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 документально фиксируют результаты оценки странового риска по каждой сделке, совершенной с участием иностранных клиентов или контрагентов из указанных государств, и учитывать их при присвоении клиенту уровня риска.</w:t>
      </w:r>
    </w:p>
    <w:bookmarkEnd w:id="124"/>
    <w:bookmarkStart w:name="z13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сделок с биржевыми товарами, происхождение или конечный пункт поставки которых связан с государствами из "черного списка" ФАТФ либо находящимися под санкциями ООН, субъекты осуществляют усиленный мониторинг, включая запрос сведений об источнике происхождения товара и средств.</w:t>
      </w:r>
    </w:p>
    <w:bookmarkEnd w:id="125"/>
    <w:bookmarkStart w:name="z13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 регулярно (не реже одного раза в квартал) проверяют актуальность перечней государств и территорий, опубликованных ФАТФ, ООН и уполномоченным органом по финансовому мониторингу, и корректировать внутренние процедуры оценки странового риска.</w:t>
      </w:r>
    </w:p>
    <w:bookmarkEnd w:id="126"/>
    <w:bookmarkStart w:name="z13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рамках внутреннего контроля субъекты разрабатывают специальные процедуры выявления операций, связанных с транзитными цепочками поставок товаров через офшорные или находящиеся под санкциями страны, даже если клиент или контрагент напрямую не зарегистрирован в таких странах.</w:t>
      </w:r>
    </w:p>
    <w:bookmarkEnd w:id="127"/>
    <w:bookmarkStart w:name="z13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 должны учитывать страновой риск при определении приоритетов внутреннего аудита и проверки сделок, связанных с экспортно-импортными операциями на биржевых площадках.</w:t>
      </w:r>
    </w:p>
    <w:bookmarkEnd w:id="128"/>
    <w:bookmarkStart w:name="z13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Иностранные государства, операции с которыми понижают риск легализации ОД/ФТ/ФРОМУ, включают следующие факторы, но не ограничиваются:</w:t>
      </w:r>
    </w:p>
    <w:bookmarkEnd w:id="129"/>
    <w:bookmarkStart w:name="z13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иностранные государства (территории), выполняющие международные стандарты и имеющие эффективную систему ПОД/ФТ/ФРОМУ в соответствии со сведениями Группы разработки финансовых мер борьбы с отмыванием денег (ФAТФ).</w:t>
      </w:r>
    </w:p>
    <w:bookmarkEnd w:id="130"/>
    <w:bookmarkStart w:name="z13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Типы клиентов, чей статус и (или) чья деятельность повышают риск легализации ОД/ФТ/ФРОМУ, включают следующие факторы, но не ограничиваются:</w:t>
      </w:r>
    </w:p>
    <w:bookmarkEnd w:id="131"/>
    <w:bookmarkStart w:name="z13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публичные должностные лица, их супруги и близкие родственники, а также юридические лица (их представители), бенефициарными владельцами которых являются указанные лица;</w:t>
      </w:r>
    </w:p>
    <w:bookmarkEnd w:id="132"/>
    <w:bookmarkStart w:name="z13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лица без гражданства;</w:t>
      </w:r>
    </w:p>
    <w:bookmarkEnd w:id="133"/>
    <w:bookmarkStart w:name="z14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граждане Республики Казахстан, не имеющие адреса регистрации или пребывания в Республики Казахстан;</w:t>
      </w:r>
    </w:p>
    <w:bookmarkEnd w:id="134"/>
    <w:bookmarkStart w:name="z14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организации и лица, включенные в перечень организаций и лиц, связанных с финансированием терроризма и экстремизма, а также в перечень организаций и лиц, связанных с финансированием распространения оружия массового уничтожения (далее – перечни),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статьями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а также организации и лица, бенефициарными собственниками которых являются указанные лица либо, находящиеся под контролем и действующие в интересах указанных лиц.</w:t>
      </w:r>
    </w:p>
    <w:bookmarkEnd w:id="135"/>
    <w:bookmarkStart w:name="z14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Перечни размещаются на официальном интернет-ресурсе уполномоченного органа по финансовому мониторингу;</w:t>
      </w:r>
    </w:p>
    <w:bookmarkEnd w:id="136"/>
    <w:bookmarkStart w:name="z14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некоммерческие организации в организационно-правовой форме фондов, религиозных объединений;</w:t>
      </w:r>
    </w:p>
    <w:bookmarkEnd w:id="137"/>
    <w:bookmarkStart w:name="z14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лица, расположенные (зарегистрированные) в иностранных государствах,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18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Требований, а также расположенные в Республике Казахстан филиалы и представительства таких лиц;</w:t>
      </w:r>
    </w:p>
    <w:bookmarkEnd w:id="138"/>
    <w:bookmarkStart w:name="z14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клиент (его представитель), в отношении которого имеются основания для сомнения в достоверности полученных данных;</w:t>
      </w:r>
    </w:p>
    <w:bookmarkEnd w:id="139"/>
    <w:bookmarkStart w:name="z14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клиент (его представитель) настаивает на поспешности проведения операции либо на нестандартных или необычно сложных схемах расчетов, использование которых отличаются от обычной практики субъектов;</w:t>
      </w:r>
    </w:p>
    <w:bookmarkEnd w:id="140"/>
    <w:bookmarkStart w:name="z14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клиент (его представитель) и бенефициарный собственник совершает действия, направленные на уклонение от процедур надлежащей проверки клиента (его представителя) и бенефициарного собственника, предусмотренных Законом;</w:t>
      </w:r>
    </w:p>
    <w:bookmarkEnd w:id="141"/>
    <w:bookmarkStart w:name="z14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клиенты (его представитель), совершающие сделки с биржевыми товарами без очевидной экономической цели или с частыми отменами и изменениями заявок;</w:t>
      </w:r>
    </w:p>
    <w:bookmarkEnd w:id="142"/>
    <w:bookmarkStart w:name="z14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клиенты (его представитель), участвующие в сделках с товарами, имеющими высокий риск двойного назначения;</w:t>
      </w:r>
    </w:p>
    <w:bookmarkEnd w:id="143"/>
    <w:bookmarkStart w:name="z15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клиенты (его представитель), в отношении которых неоднократно поступали запросы от уполномоченных органов, или у которых выявлены несоответствия между данными торговых систем и финансовой отчетности.</w:t>
      </w:r>
    </w:p>
    <w:bookmarkEnd w:id="144"/>
    <w:bookmarkStart w:name="z15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Типы клиентов, чей статус и (или) чья деятельность понижают риск легализации ОД/ФТ/ФРОМУ, включают следующие факторы, но не ограничиваются:</w:t>
      </w:r>
    </w:p>
    <w:bookmarkEnd w:id="145"/>
    <w:bookmarkStart w:name="z15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государственные органы Республики Казахстан, а также юридические лица, контроль над которыми осуществляется государственными органами;</w:t>
      </w:r>
    </w:p>
    <w:bookmarkEnd w:id="146"/>
    <w:bookmarkStart w:name="z15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организации, акции которых включены в официальный список фондовой биржи Республики Казахстан и (или) фондовой биржи иностранного государства;</w:t>
      </w:r>
    </w:p>
    <w:bookmarkEnd w:id="147"/>
    <w:bookmarkStart w:name="z15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международные организации, расположенные на территории Республики Казахстан либо участником которых является Республика Казахстан;</w:t>
      </w:r>
    </w:p>
    <w:bookmarkEnd w:id="148"/>
    <w:bookmarkStart w:name="z15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лица, расположенные (зарегистрированные) в иностранных государствах,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19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Требований, а также расположенные в Республике Казахстан филиалы и представительства таких лиц.</w:t>
      </w:r>
    </w:p>
    <w:bookmarkEnd w:id="149"/>
    <w:bookmarkStart w:name="z15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Услуги (продукты) субъектов, повышающие риск легализации ОД/ФТ/ФРОМУ, включают следующие факторы, но не ограничиваются:</w:t>
      </w:r>
    </w:p>
    <w:bookmarkEnd w:id="150"/>
    <w:bookmarkStart w:name="z15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субъектов, предусмотренных в пункте 2 настоящих Требований:</w:t>
      </w:r>
    </w:p>
    <w:bookmarkEnd w:id="151"/>
    <w:bookmarkStart w:name="z15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деловые отношения с клиентом осуществляются при возникновении нестандартных (нетипичных) обстоятельств;</w:t>
      </w:r>
    </w:p>
    <w:bookmarkEnd w:id="152"/>
    <w:bookmarkStart w:name="z15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совершение операции клиентов, зарегистрированных в странах высокого риска (офшорные зоны, страны из перечня ФАТФ и ООН), либо когда расчеты производятся через такие юрисдикции;</w:t>
      </w:r>
    </w:p>
    <w:bookmarkEnd w:id="153"/>
    <w:bookmarkStart w:name="z16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использование сложных цепочек посредников, номинальных держателей или бенефициарных структур при заключении сделок на биржевых площадках, что затрудняет установление реального владельца и источника происхождения средств;</w:t>
      </w:r>
    </w:p>
    <w:bookmarkEnd w:id="154"/>
    <w:bookmarkStart w:name="z16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сделок на бирже клиентом при несоответствии финансового положения характеру и объему совершаемых операций в два и более раз;</w:t>
      </w:r>
    </w:p>
    <w:bookmarkEnd w:id="155"/>
    <w:bookmarkStart w:name="z16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совершение операций, не имеющих экономического смысла или правовой цели;</w:t>
      </w:r>
    </w:p>
    <w:bookmarkEnd w:id="156"/>
    <w:bookmarkStart w:name="z16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совершение клиентом операций с частотой, несвойственной его обычной деятельности, либо на сумму, значительно превышающую характерные для него показатели в два и более раз.</w:t>
      </w:r>
    </w:p>
    <w:bookmarkEnd w:id="157"/>
    <w:bookmarkStart w:name="z16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товарных бирж:</w:t>
      </w:r>
    </w:p>
    <w:bookmarkEnd w:id="158"/>
    <w:bookmarkStart w:name="z16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биржевым брокером биржевые сделки заключаются преимущественно в интересах одних и тех же клиентов, при наличии аналогичных заявок других клиентов такого биржевого товара;</w:t>
      </w:r>
    </w:p>
    <w:bookmarkEnd w:id="159"/>
    <w:bookmarkStart w:name="z16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операции с деньгами и (или) иным имуществом, превышающие пороговое значение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; </w:t>
      </w:r>
    </w:p>
    <w:bookmarkEnd w:id="160"/>
    <w:bookmarkStart w:name="z167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регулярное проведение операций через одного или нескольких брокеров с признаками дробления сумм с целью обхода порогового контроля.</w:t>
      </w:r>
    </w:p>
    <w:bookmarkEnd w:id="161"/>
    <w:bookmarkStart w:name="z16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для биржевых брокеров:</w:t>
      </w:r>
    </w:p>
    <w:bookmarkEnd w:id="162"/>
    <w:bookmarkStart w:name="z16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подача клиентом заявки на участие в биржевых торгах, если сумма операции равна или превышает 2 544 (две тысячи пятьсот сорок четыре) месячных расчетных показателей, установленных законом о республиканском бюджете на соответствующий год либо равна сумме в иностранной валюте, эквивалентной 2 544 (двум тысячам пятистам сорока четырем) месячным расчетным показателям, установленным законом о республиканском бюджете на соответствующий год или превышающей ее, с момента государственной регистрации которого прошло менее трех месяцев, в наличной или безналичной форме;</w:t>
      </w:r>
    </w:p>
    <w:bookmarkEnd w:id="163"/>
    <w:bookmarkStart w:name="z17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совершение клиентом действий, направленных на уклонение от надлежащей проверки и (или) финансового мониторинга,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64"/>
    <w:bookmarkStart w:name="z17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совершение клиентом операции с деньгами и (или) иным имуществом, по которой имеются основания полагать, что она направлена на обналичивание денег, полученных преступным путем.</w:t>
      </w:r>
    </w:p>
    <w:bookmarkEnd w:id="165"/>
    <w:bookmarkStart w:name="z17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для клиринговых центров:</w:t>
      </w:r>
    </w:p>
    <w:bookmarkEnd w:id="166"/>
    <w:bookmarkStart w:name="z173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использование клиентом необычных способов расчетов (например, бартерные сделки, расчеты через третьих лиц, использование электронных валют или инструментов, не подлежащих финансовому мониторингу);</w:t>
      </w:r>
    </w:p>
    <w:bookmarkEnd w:id="167"/>
    <w:bookmarkStart w:name="z17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зачисление или перевод на банковский счет клиента денег, осуществляемые физическим, юридическим лицом или иностранной структурой без образования юридического лица, имеющими соответственно регистрацию, место жительства или место нахождения в оффшорной зоне, а равно владеющими счетом в банке, зарегистрированном в оффшорной зоне, либо операции клиента с деньгами и (или) иным имуществом с указанной категорией лиц в наличной или безналичной форме;</w:t>
      </w:r>
    </w:p>
    <w:bookmarkEnd w:id="168"/>
    <w:bookmarkStart w:name="z175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внесение клиентом суммы, существенно превышающей средний (обычный) размер его операций по внесению биржевого обеспечения в клиринговый центр в два и более раз;</w:t>
      </w:r>
    </w:p>
    <w:bookmarkEnd w:id="169"/>
    <w:bookmarkStart w:name="z176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внесение биржевого обеспечения в клиринговый центр на счет клиента товарной биржи третьим лицом;</w:t>
      </w:r>
    </w:p>
    <w:bookmarkEnd w:id="170"/>
    <w:bookmarkStart w:name="z17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клиентом заявления в клиринговый центр на возврат ранее внесенного им биржевого обеспечения на счет третьего лица;</w:t>
      </w:r>
    </w:p>
    <w:bookmarkEnd w:id="171"/>
    <w:bookmarkStart w:name="z17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принятие клиентом участия в биржевых торгах более 6 (шести) месяцев, при наличии внесенного биржевого обеспечения.</w:t>
      </w:r>
    </w:p>
    <w:bookmarkEnd w:id="172"/>
    <w:bookmarkStart w:name="z17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Признаки деятельности и корпоративной структуры субъектов, повышающие риск легализации ОД/ФТ/ФРОМУ, включают следующие факторы, но не ограничиваются:</w:t>
      </w:r>
    </w:p>
    <w:bookmarkEnd w:id="173"/>
    <w:bookmarkStart w:name="z18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операции без физического присутствия клиента (его представителя);</w:t>
      </w:r>
    </w:p>
    <w:bookmarkEnd w:id="174"/>
    <w:bookmarkStart w:name="z181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использование услуг третьих сторон для применения мер надлежащей проверки клиента в отношении клиента (его представителя) и бенефициарного собственника;</w:t>
      </w:r>
    </w:p>
    <w:bookmarkEnd w:id="175"/>
    <w:bookmarkStart w:name="z182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отсутствие у ответственного работника по ПОД/ФТ/ФРОМУ субъекта сертификата о прохождении тестирования на знание законодательства Республики Казахстан о ПОД/ФТ/ФРОМУ за предшествующий календарный год;</w:t>
      </w:r>
    </w:p>
    <w:bookmarkEnd w:id="176"/>
    <w:bookmarkStart w:name="z183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в составе учредителей субъекта нерезидентов;</w:t>
      </w:r>
    </w:p>
    <w:bookmarkEnd w:id="177"/>
    <w:bookmarkStart w:name="z18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наличие у учредителей субъекта иностранных банковских счетов;</w:t>
      </w:r>
    </w:p>
    <w:bookmarkEnd w:id="178"/>
    <w:bookmarkStart w:name="z18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наличие фактов участия в биржевых торгах компаний, аффилированных с учредителями субъекта;</w:t>
      </w:r>
    </w:p>
    <w:bookmarkEnd w:id="179"/>
    <w:bookmarkStart w:name="z18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наличие фактов участия в биржевых торгах компаний, аффилированных с работниками субъекта.</w:t>
      </w:r>
    </w:p>
    <w:bookmarkEnd w:id="180"/>
    <w:bookmarkStart w:name="z18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Способы предоставления продукта (услуги), понижающими риск легализации ОД/ФТ/ФРОМУ, включают следующие факторы, но не ограничиваются:</w:t>
      </w:r>
    </w:p>
    <w:bookmarkEnd w:id="181"/>
    <w:bookmarkStart w:name="z18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операции при личном присутствии клиента (его представителя);</w:t>
      </w:r>
    </w:p>
    <w:bookmarkEnd w:id="182"/>
    <w:bookmarkStart w:name="z18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у клиента (его представителя) безупречной деловой репутации без нарушений законодательства Республики Казахстан о ПОД/ФТ/ФРОМУ;</w:t>
      </w:r>
    </w:p>
    <w:bookmarkEnd w:id="183"/>
    <w:bookmarkStart w:name="z190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использование клиентом защищенных и сертифицированных цифровых каналов связи при проведении операций;</w:t>
      </w:r>
    </w:p>
    <w:bookmarkEnd w:id="184"/>
    <w:bookmarkStart w:name="z19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у клиента (его представителя) статуса бенефициарного владения;</w:t>
      </w:r>
    </w:p>
    <w:bookmarkEnd w:id="185"/>
    <w:bookmarkStart w:name="z19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наличие подтвержденных источников происхождения денежных средств и (или) иного имущества.</w:t>
      </w:r>
    </w:p>
    <w:bookmarkEnd w:id="186"/>
    <w:bookmarkStart w:name="z193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 рамках реализации программы управления рисками легализации ОД/ФТ/ФРОМУ субъектами принимаются меры по классификации клиентов с учетом категорий и факторов риска, указанных в пунктах 18, 19, 20, 21, 22, 23 и 24 настоящих Требований, а также иных категорий рисков, устанавливаемых субъектами.</w:t>
      </w:r>
    </w:p>
    <w:bookmarkEnd w:id="187"/>
    <w:bookmarkStart w:name="z194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Уровень риска клиента (его представителя) (группы клиентов) устанавливается субъектами по результатам анализа имеющихся у субъектов сведений о клиенте (его представителе) (клиентах) и оценивается по шкале определения уровня риска, которая состоит не менее, чем из двух уровней низкий и высокий.</w:t>
      </w:r>
    </w:p>
    <w:bookmarkEnd w:id="188"/>
    <w:bookmarkStart w:name="z195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рисков с использованием категорий и факторов рисков, указанных в пунктах 18, 19, 20, 21, 22, 23 и 24 настоящих Требований, проводится в отношении клиентов (групп клиентов) на основе результатов мониторинга операций и (или) деятельности (деловых отношений).</w:t>
      </w:r>
    </w:p>
    <w:bookmarkEnd w:id="189"/>
    <w:bookmarkStart w:name="z196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Пересмотр уровня риска клиента (его представителя) (группы клиентов) осуществляется субъектами по мере обновления сведений о клиенте (группе клиентов) и результатов мониторинга операций (деловых отношений).</w:t>
      </w:r>
    </w:p>
    <w:bookmarkEnd w:id="190"/>
    <w:bookmarkStart w:name="z197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Пересмотр уровня риска клиента (его представителя) высокого риска осуществляется не реже одного раза в год независимо от наличия новых сведений или изменений в деятельности клиента.</w:t>
      </w:r>
    </w:p>
    <w:bookmarkEnd w:id="191"/>
    <w:bookmarkStart w:name="z198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 документально фиксируют основания присвоения клиенту уровня риска, а также обеспечивают доступность обоснований для внутреннего контроля и уполномоченного органа по финансовому мониторингу.</w:t>
      </w:r>
    </w:p>
    <w:bookmarkEnd w:id="192"/>
    <w:bookmarkStart w:name="z199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клиентов с высоким уровнем риска обязательным является проведение усиленных мер надлежащей проверки, включая установление источников происхождения денежных средств и (или) иным имуществом. </w:t>
      </w:r>
    </w:p>
    <w:bookmarkEnd w:id="193"/>
    <w:bookmarkStart w:name="z200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 применяют технологические инструменты (автоматизированные системы мониторинга и анализа) при наличии большого объема сделок, чтобы минимизировать субъективизм в классификации клиентов.</w:t>
      </w:r>
    </w:p>
    <w:bookmarkEnd w:id="194"/>
    <w:bookmarkStart w:name="z201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классификации клиента и присвоения им уровня риска подлежат внутреннему аудиту и проверке ответственным подразделением по ПОД/ФТ/ФРОМУ не реже одного раза в два года.</w:t>
      </w:r>
    </w:p>
    <w:bookmarkEnd w:id="195"/>
    <w:bookmarkStart w:name="z202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Субъекты определяют и оценивают риски легализации ОД/ФТ/ФРОМУ, возникающие при:</w:t>
      </w:r>
    </w:p>
    <w:bookmarkEnd w:id="196"/>
    <w:bookmarkStart w:name="z203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разработке новых продуктов и новой деловой практики, включая новые механизмы передачи;</w:t>
      </w:r>
    </w:p>
    <w:bookmarkEnd w:id="197"/>
    <w:bookmarkStart w:name="z204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использовании новых или развивающихся технологий как для новых, так и для уже существующих продуктов;</w:t>
      </w:r>
    </w:p>
    <w:bookmarkEnd w:id="198"/>
    <w:bookmarkStart w:name="z205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взаимодействии с клиентами и контрагентами, использующими цифровые активы, платформы удаленного доступа, а также иные финансовые технологии, которые могут создавать повышенные риски анонимности и обхода процедур идентификации;</w:t>
      </w:r>
    </w:p>
    <w:bookmarkEnd w:id="199"/>
    <w:bookmarkStart w:name="z206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внедрении автоматизированных систем расчетов, клиринга и брокерских сервисов на товарных биржах, включая использование искусственного интеллекта и алгоритмических торговых стратегий;</w:t>
      </w:r>
    </w:p>
    <w:bookmarkEnd w:id="200"/>
    <w:bookmarkStart w:name="z207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 установлении трансграничных расчетов и сделок с участием юрисдикций, отнесенных к серым, черным спискам ФАТФ.</w:t>
      </w:r>
    </w:p>
    <w:bookmarkEnd w:id="201"/>
    <w:bookmarkStart w:name="z208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 фиксируют результаты оценки рисков новых продуктов, практик и технологий, включая описание выявленных угроз, уязвимостей и мер по их минимизации, а также обеспечивать доступность таких документов для уполномоченного органа по финансовому мониторингу.</w:t>
      </w:r>
    </w:p>
    <w:bookmarkEnd w:id="202"/>
    <w:bookmarkStart w:name="z209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рисков легализации ОД/ФТ/ФРОМУ проводится до запуска новых продуктов, деловой практики, использования новых или развивающихся технологий.</w:t>
      </w:r>
    </w:p>
    <w:bookmarkEnd w:id="203"/>
    <w:bookmarkStart w:name="z210" w:id="2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Программа идентификации клиентов</w:t>
      </w:r>
    </w:p>
    <w:bookmarkEnd w:id="204"/>
    <w:bookmarkStart w:name="z211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Программа идентификации клиента (его представителя) и бенефициарного собственника заключается в проведении субъектами мероприятий по фиксированию и проверке достоверности сведений предоставляемых клиентом (его представителем) либо полученных из иных источников, в том числе по итогам проверки в скоринговом модуле о клиенте (его представителе), выявлению бенефициарного собственника и фиксированию сведений о нем, обновлению ранее полученных сведений о клиенте (его представителе), установлению и фиксированию предполагаемой цели деловых отношений, а также получению и фиксированию иных предусмотренных Законом сведений о клиенте и их представителях, включает, но не ограничивается:</w:t>
      </w:r>
    </w:p>
    <w:bookmarkEnd w:id="205"/>
    <w:bookmarkStart w:name="z212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порядок принятия клиентов (его представителя), включая процедуру и основания для отказа в установлении деловых отношений и (или) в проведении операции, а также прекращения деловых отношений;</w:t>
      </w:r>
    </w:p>
    <w:bookmarkEnd w:id="206"/>
    <w:bookmarkStart w:name="z213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порядок идентификации клиента (его представителя) и бенефициарного собственника, в том числе особенности процедур применения упрощенных и усиленных мер надлежащей проверки клиента (его представителя) и бенефициарного собственника, порядок принятия субъектом решения о признании физического лица бенефициарным собственником клиента;</w:t>
      </w:r>
    </w:p>
    <w:bookmarkEnd w:id="207"/>
    <w:bookmarkStart w:name="z214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описание мер, направленных на выявление субъектом среди физических лиц, находящихся на обслуживании или принимаемых на обслуживание, публичных должностных лиц, их супругов и близких родственников, а также среди юридических лиц клиентов (их представителей), чьими бенефициарными собственниками являются указанные лица, и принятие таких клиентов (их представителей), на обслуживание (с получением письменного разрешения руководящего работника организации);</w:t>
      </w:r>
    </w:p>
    <w:bookmarkEnd w:id="208"/>
    <w:bookmarkStart w:name="z215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порядок проверки клиента (его представителя) и бенефициарного собственника на наличие в перечнях;</w:t>
      </w:r>
    </w:p>
    <w:bookmarkEnd w:id="209"/>
    <w:bookmarkStart w:name="z216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особенности идентификации при дистанционном установлении деловых отношений (без личного присутствия клиента (его представителя));</w:t>
      </w:r>
    </w:p>
    <w:bookmarkEnd w:id="210"/>
    <w:bookmarkStart w:name="z217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особенности обмена сведениями, полученными в процессе идентификации клиента (его представителя) и бенефициарного собственника, в рамках выполнения Требований;</w:t>
      </w:r>
    </w:p>
    <w:bookmarkEnd w:id="211"/>
    <w:bookmarkStart w:name="z218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особенности идентификации клиентов (их представителей) путем получения сведений от других организаций, в том числе идентификации физических и юридических лиц, в пользу или от имени которых (его представителя) и бенефициарного собственника совершаются операции;</w:t>
      </w:r>
    </w:p>
    <w:bookmarkEnd w:id="212"/>
    <w:bookmarkStart w:name="z219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описание дополнительных источников информации, в том числе предоставляемых государственными органами, в целях идентификации клиента (его представителя) и бенефициарного собственника;</w:t>
      </w:r>
    </w:p>
    <w:bookmarkEnd w:id="213"/>
    <w:bookmarkStart w:name="z220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порядок проверки достоверности сведений о клиенте (его представителе) и бенефициарном собственнике;</w:t>
      </w:r>
    </w:p>
    <w:bookmarkEnd w:id="214"/>
    <w:bookmarkStart w:name="z221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требования к форме, содержанию и порядку ведения досье клиента (его представителя), обновления сведений (не реже 1 раза в год), содержащихся в досье, с указанием периодичности обновления сведений;</w:t>
      </w:r>
    </w:p>
    <w:bookmarkEnd w:id="215"/>
    <w:bookmarkStart w:name="z222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процедуру обеспечения доступа работников субъекта к информации, полученной при проведении идентификации;</w:t>
      </w:r>
    </w:p>
    <w:bookmarkEnd w:id="216"/>
    <w:bookmarkStart w:name="z223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порядок оценки уровня риска клиента (его представителя), основания оценки такого риска.</w:t>
      </w:r>
    </w:p>
    <w:bookmarkEnd w:id="217"/>
    <w:bookmarkStart w:name="z224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субъект в соответствии с Законом на основании договора поручил иному лицу, либо иностранной финансовой организации применение в отношении клиентов (их представителей) субъекта мер, предусмотренных подпунктами 1), 2), 2-1), 2-2) и 4) пункта 3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субъект разрабатывает правила взаимодействия с такими лицами, которые включают:</w:t>
      </w:r>
    </w:p>
    <w:bookmarkEnd w:id="218"/>
    <w:bookmarkStart w:name="z225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процедуру заключения субъектами договоров с лицами, которым поручено проведение идентификации, а также перечень должностных лиц организации, уполномоченных заключать такие договора;</w:t>
      </w:r>
    </w:p>
    <w:bookmarkEnd w:id="219"/>
    <w:bookmarkStart w:name="z226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процедуру идентификации клиента (его представителя) и бенефициарного собственника в соответствии с договорами между организацией и лицами, которым поручено проведение идентификации;</w:t>
      </w:r>
    </w:p>
    <w:bookmarkEnd w:id="220"/>
    <w:bookmarkStart w:name="z227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процедуру и сроки передачи организации сведений, полученных при проведении идентификации лицами, которым поручено проведение идентификации;</w:t>
      </w:r>
    </w:p>
    <w:bookmarkEnd w:id="221"/>
    <w:bookmarkStart w:name="z228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процедуру осуществления субъектом контроля за соблюдением лицами, которым поручено проведение идентификации, требований по идентификации, включая процедуру, сроки и полноту передачи организации, полученных сведений, а также меры, принимаемые субъектом по устранению выявленных нарушений;</w:t>
      </w:r>
    </w:p>
    <w:bookmarkEnd w:id="222"/>
    <w:bookmarkStart w:name="z229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основания, процедуру и сроки принятия субъектом решения об одностороннем отказе в исполнении договора с лицами, которым поручено проведение идентификации, в случае несоблюдения ими требований по идентификации, в том числе процедур, сроков и полноты передачи организации полученных сведений;</w:t>
      </w:r>
    </w:p>
    <w:bookmarkEnd w:id="223"/>
    <w:bookmarkStart w:name="z230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перечень должностных лиц организации, уполномоченных принимать решение об одностороннем отказе от исполнения договора с лицами, которым поручено проведение идентификации;</w:t>
      </w:r>
    </w:p>
    <w:bookmarkEnd w:id="224"/>
    <w:bookmarkStart w:name="z231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положения об ответственности лиц, которым субъект поручил проведение идентификации, за несоблюдение ими требований по идентификации, включая процедуру, сроки и полноту передачи организации полученных сведений;</w:t>
      </w:r>
    </w:p>
    <w:bookmarkEnd w:id="225"/>
    <w:bookmarkStart w:name="z232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процедуру взаимодействия организации с лицами, которым поручено проведение идентификации по вопросам оказания им методологической помощи в целях выполнения требований по идентификации;</w:t>
      </w:r>
    </w:p>
    <w:bookmarkEnd w:id="226"/>
    <w:bookmarkStart w:name="z233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процедуру выявления возможных рисков легализации ОД/ФТ/ФРОМУ.</w:t>
      </w:r>
    </w:p>
    <w:bookmarkEnd w:id="227"/>
    <w:bookmarkStart w:name="z234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субъекты не вправе совершать действия, предусмотренные пунктами 6, 6-1 и 8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в случае регистрации, пребывания или нахождения другого субъекта или иностранной финансовой организации в государстве (территории), которое не выполняет и (или) недостаточно выполняет рекомендации Группы разработки финансовых мер борьбы с отмыванием денег (ФАТФ).</w:t>
      </w:r>
    </w:p>
    <w:bookmarkEnd w:id="228"/>
    <w:bookmarkStart w:name="z235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Уполномоченный орган по финансовому мониторингу определяет порядок надлежащей проверки клиента (его представителя), бенефициарного собственника в скоринговом модуле.</w:t>
      </w:r>
    </w:p>
    <w:bookmarkEnd w:id="229"/>
    <w:bookmarkStart w:name="z236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Субъекты при проведении надлежащей проверки клиента (его представителя) и бенефициарного собственника идентифицируют их по следующим обязательствам:</w:t>
      </w:r>
    </w:p>
    <w:bookmarkEnd w:id="230"/>
    <w:bookmarkStart w:name="z237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идентификация клиента (его представителя) и бенефициарного собственника и подтверждение личности клиента (его представителя) с использованием надежных, независимых первичных документов, данных или информации;</w:t>
      </w:r>
    </w:p>
    <w:bookmarkEnd w:id="231"/>
    <w:bookmarkStart w:name="z238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определение бенефициарного собственника и принятие мер по проверке личности бенефициарного собственника, которые позволяет субъекту считать, что ему известно, кто является бенефициарным собственником. Для юридических лиц и иностранных организаций без образования юридического лица это должно включать получение информации субъектом о структуре управления и собственности клиента (его представителя);</w:t>
      </w:r>
    </w:p>
    <w:bookmarkEnd w:id="232"/>
    <w:bookmarkStart w:name="z239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понимание и, когда это необходимо, получение информации о целях и предполагаемом характере деловых отношений;</w:t>
      </w:r>
    </w:p>
    <w:bookmarkEnd w:id="233"/>
    <w:bookmarkStart w:name="z240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на постоянной основе надлежащей проверки деловых отношений и полный анализ сделок, совершенных в рамках таких отношений для того, чтобы убедиться в соответствии проводимых сделок сведениям субъектов о клиенте (его представителе) и бенефициарном собственнике, его хозяйственной деятельности и характере рисков, в том числе, когда необходимо, об источнике средств;</w:t>
      </w:r>
    </w:p>
    <w:bookmarkEnd w:id="234"/>
    <w:bookmarkStart w:name="z241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отношении иностранных структур без образования юридического лица юридических образований, личных данных, занимающих эквивалентные или похожие должности.</w:t>
      </w:r>
    </w:p>
    <w:bookmarkEnd w:id="235"/>
    <w:bookmarkStart w:name="z242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С учетом требований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субъекты проводят идентификацию клиента (его представителя) и бенефициарного собственника до установления деловых отношений.</w:t>
      </w:r>
    </w:p>
    <w:bookmarkEnd w:id="236"/>
    <w:bookmarkStart w:name="z243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Субъекты проводят идентификацию клиента (его представителя) и бенефициарного собственника, проверку деловых отношений и изучение операций и (или) деятельности, включая при необходимости получение и фиксирование сведений об источнике финансирования совершаемых операций, с учетом уровня риска клиента, а также проводит проверку достоверности полученных сведений о клиенте в случаях:</w:t>
      </w:r>
    </w:p>
    <w:bookmarkEnd w:id="237"/>
    <w:bookmarkStart w:name="z244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совершения клиентом пороговой операции (сделки);</w:t>
      </w:r>
    </w:p>
    <w:bookmarkEnd w:id="238"/>
    <w:bookmarkStart w:name="z245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совершения (попытки совершения) клиентом подозрительной операции (сделки);</w:t>
      </w:r>
    </w:p>
    <w:bookmarkEnd w:id="239"/>
    <w:bookmarkStart w:name="z246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совершения клиентом необычной операции (сделки);</w:t>
      </w:r>
    </w:p>
    <w:bookmarkEnd w:id="240"/>
    <w:bookmarkStart w:name="z247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совершения клиентом операции (сделки), имеющей характеристики, соответствующие типологиям, схемам и способам легализации (отмывания) преступных доходов и финансирования терроризма;</w:t>
      </w:r>
    </w:p>
    <w:bookmarkEnd w:id="241"/>
    <w:bookmarkStart w:name="z248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совершения клиентом подозрительной деятельности;</w:t>
      </w:r>
    </w:p>
    <w:bookmarkEnd w:id="242"/>
    <w:bookmarkStart w:name="z249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совершения клиентом операции, подлежащей обязательному изучению;</w:t>
      </w:r>
    </w:p>
    <w:bookmarkEnd w:id="243"/>
    <w:bookmarkStart w:name="z250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отказа от проведения операций клиентов или в установлении деловых отношений;</w:t>
      </w:r>
    </w:p>
    <w:bookmarkEnd w:id="244"/>
    <w:bookmarkStart w:name="z251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сообщение о подозрительной деятельности.</w:t>
      </w:r>
    </w:p>
    <w:bookmarkEnd w:id="245"/>
    <w:bookmarkStart w:name="z252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совершении клиентом операции (сделки) в рамках установленных деловых отношений, идентификация клиента (его представителя) и бенефициарного собственника не проводится, если она проводилась при установлении таких деловых отношений, за исключением случаев, предусмотренных подпунктами 2), 3) и 4) части первой настоящего пункта, а также необходимости обновления, ранее полученных либо получения дополнительных сведений в соответствии с уровнем риска клиента и настоящих Требований.</w:t>
      </w:r>
    </w:p>
    <w:bookmarkEnd w:id="246"/>
    <w:bookmarkStart w:name="z253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 установления лица, имеющего контрольную долю участия, бенефициарного собственника, или отсутствия физических лиц, осуществляющих контроль посредством доли в правах собственности, субъекты проверяют личность бенефициарных собственников с использованием личных данных физического лица, осуществляющего контроль над юридическим лицом или иностранной структурой без образования юридического лица.</w:t>
      </w:r>
    </w:p>
    <w:bookmarkEnd w:id="247"/>
    <w:bookmarkStart w:name="z254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Бенефициарным собственником в установленном законодательством порядке признается лицо, которому прямо или косвенно принадлежат более двадцати пяти процентов долей участия в уставном капитале либо размещенных (за вычетом привилегированных и выкупленных обществом) акций клиента – юридического лица, иностранной структурой без образования юридического лица.</w:t>
      </w:r>
    </w:p>
    <w:bookmarkEnd w:id="248"/>
    <w:bookmarkStart w:name="z255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невозможности установления бенефициарного собственника на основании участия в уставном капитале бенефициарным собственником признается лицо, осуществляющее контроль над клиентом иным образом либо в интересах которого клиентом совершаются операции с деньгами и (или) иным имуществом.</w:t>
      </w:r>
    </w:p>
    <w:bookmarkEnd w:id="249"/>
    <w:bookmarkStart w:name="z256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 должен фиксировать и хранить результаты проверок, в том числе, когда бенефициар не установлен.</w:t>
      </w:r>
    </w:p>
    <w:bookmarkEnd w:id="250"/>
    <w:bookmarkStart w:name="z257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Документы и сведения, полученные в соответствии с пунктом 31 настоящих Требований в рамках идентификации клиента (его представителя) и бенефициарного собственника, документально фиксируются и вносятся (включаются) субъектами в досье клиента.</w:t>
      </w:r>
    </w:p>
    <w:bookmarkEnd w:id="251"/>
    <w:bookmarkStart w:name="z258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и сведения об операциях с деньгами и (или) иным имуществом, в том числе подлежащих финансовому мониторингу, и подозрительных операциях и деятельности, а также результаты изучения всех сложных, необычно крупных и других необычных операций подлежат хранению субъектом на протяжении всего периода деловых отношений с клиентом и не менее 5 (пяти) лет со дня прекращения деловых отношений с клиентом.</w:t>
      </w:r>
    </w:p>
    <w:bookmarkEnd w:id="252"/>
    <w:bookmarkStart w:name="z259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применении субъектами подпункта 1)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они незамедлительно получают сведения о клиенте (его представителе) и бенефициарном собственнике от других субъектов для внесения (включения) в досье клиента, а также по запросу без задержки получает копии подтверждающих документов, к которым, в том числе относятся информация, выписки из информационных систем или баз данных других субъектов, на меры надлежащей проверки клиента (его представителя) и бенефициарного собственника которого полагаются субъекты.</w:t>
      </w:r>
    </w:p>
    <w:bookmarkEnd w:id="253"/>
    <w:bookmarkStart w:name="z260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Субъекты формируют досье клиента (его представителя) путем фиксирования сведений о нем в зависимости от уровня его риска, присвоенного ими в соответствии с их ПВК. В случае присвоения клиенту низкого уровня в отношении него проводятся упрощенные меры надлежащей проверки и фиксируется перечень сведений, предусмотренный подпунктами 1), 2), 2-1), 2-2) и 4)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Закона.</w:t>
      </w:r>
    </w:p>
    <w:bookmarkEnd w:id="254"/>
    <w:bookmarkStart w:name="z261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присвоения клиенту высокого уровня риска к дополнительным сведениям относятся сведения, предусмотренные пунктом 5 статьи 5 Закона сведения о налоговом резидентстве, роде деятельности и источнике финансирования совершаемых операций.</w:t>
      </w:r>
    </w:p>
    <w:bookmarkEnd w:id="255"/>
    <w:bookmarkStart w:name="z262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Усиленные меры надлежащей проверки клиента (его представителя), бенефициарного собственника применяются при высоком уровне риска легализации ОД/ФТ/ФРОМУ.</w:t>
      </w:r>
    </w:p>
    <w:bookmarkEnd w:id="256"/>
    <w:bookmarkStart w:name="z263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Упрощенные меры надлежащей проверки клиентов (их представителей) и бенефициарных собственников применяются при низком уровне риска легализации ОД/ФТ/ФРОМУ.</w:t>
      </w:r>
    </w:p>
    <w:bookmarkEnd w:id="257"/>
    <w:bookmarkStart w:name="z264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В процессе идентификации клиента (его представителя) и бенефициарного собственника субъектами проводится проверка на наличие такого клиента в перечнях.</w:t>
      </w:r>
    </w:p>
    <w:bookmarkEnd w:id="258"/>
    <w:bookmarkStart w:name="z265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наличия клиента (бенефициарного собственника) в перечнях (включения в перечни) не зависит от уровня риска клиента и осуществляется по мере внесения в них изменений (обновления).</w:t>
      </w:r>
    </w:p>
    <w:bookmarkEnd w:id="259"/>
    <w:bookmarkStart w:name="z266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 в процессе идентификации клиента (его представителя) и бенефициарного собственника проводится проверка на принадлежность такого клиента к публичному должностному лицу, его супруге (супругу) и близкому родственнику.</w:t>
      </w:r>
    </w:p>
    <w:bookmarkEnd w:id="260"/>
    <w:bookmarkStart w:name="z267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Обновление сведений о клиенте (его представителе) и бенефициарном собственнике с высоким уровнем риска легализации ОД/ФТ/ФРОМУ осуществляется не реже 1 (одного) раза в полугодие.</w:t>
      </w:r>
    </w:p>
    <w:bookmarkEnd w:id="261"/>
    <w:bookmarkStart w:name="z268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 обновления и (или) необходимость получения дополнительных сведений о клиенте (его представителе) и бенефициарном собственнике устанавливаются с учетом уровня риска клиента (группы клиентов) и (или) степени подверженности услуг (продуктов) субъекта, которыми пользуется клиент, рискам легализации ОД/ФТ/ФРОМУ.</w:t>
      </w:r>
    </w:p>
    <w:bookmarkEnd w:id="262"/>
    <w:bookmarkStart w:name="z269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отказа клиенту в установлении деловых отношений и проведении операции с деньгами и (или) иным имуществом, в случае невозможности принятия мер, предусмотренных подпунктами 1), 2), 2-2), 4) и 6) пункта 3 статьи 5 Закона, а также принятия мер по замораживанию операций с деньгами и (или) иным имуществом, субъекты направляют в уполномоченный орган по финансовому мониторингу сообщение о таком факте по Форме ФМ-1.</w:t>
      </w:r>
    </w:p>
    <w:bookmarkEnd w:id="263"/>
    <w:bookmarkStart w:name="z270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невозможности принятия мер, предусмотренных подпунктом 6) пункта 3 статьи 5 Закона, а также в случае возникновения в процессе изучения операций, совершаемых клиентом, подозрений о том, что деловые отношения используются клиентом в целях ОД/ФТ/ФРОМУ, субъекты прекращают деловые отношения с клиентом. Если деловые отношения прекращены по вышеобозначенным основаниям, субъекты направляют в уполномоченный орган по финансовому мониторингу сообщение по Форме ФМ-1.</w:t>
      </w:r>
    </w:p>
    <w:bookmarkEnd w:id="264"/>
    <w:bookmarkStart w:name="z271" w:id="2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Программа мониторинга и изучения операций клиентов, включая изучение сложных, необычно крупных операций клиентов</w:t>
      </w:r>
    </w:p>
    <w:bookmarkEnd w:id="265"/>
    <w:bookmarkStart w:name="z272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В целях реализации требований Закона по надлежащей проверке клиента (его представителя) и бенефициарного собственника, а также по выявлению и направлению в уполномоченный орган по финансовому мониторингу сообщений об операциях и деятельности клиентов, подлежащих финансовому мониторингу, субъекты разрабатывают программу мониторинга, изучения операций и (или) деятельности клиентов.</w:t>
      </w:r>
    </w:p>
    <w:bookmarkEnd w:id="266"/>
    <w:bookmarkStart w:name="z273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Программа мониторинга, изучения операций и (или) деятельности клиентов включает:</w:t>
      </w:r>
    </w:p>
    <w:bookmarkEnd w:id="267"/>
    <w:bookmarkStart w:name="z274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перечень признаков необычных и подозрительных операций, составленный на основе признаков определения подозрительных операций, утверждаемых уполномоченным органом по финансовому мониторингу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Закона, а также разработанных субъектами самостоятельно;</w:t>
      </w:r>
    </w:p>
    <w:bookmarkEnd w:id="268"/>
    <w:bookmarkStart w:name="z275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процедуру выявления операции и деятельности клиента (его представителя), имеющей характеристики, соответствующие типологиям, схемам и способам легализации ОД/ФТ/ФРОМУ, утвержденным уполномоченным органом по финансовому мониторингу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 Закона;</w:t>
      </w:r>
    </w:p>
    <w:bookmarkEnd w:id="269"/>
    <w:bookmarkStart w:name="z276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порядок принятия и описание мер, принимаемых субъектами в отношении клиента (его представителя), его операций и (или) деятельности в случае осуществления клиентом систематически и (или) в значительных объемах необычных и (или) подозрительных операций;</w:t>
      </w:r>
    </w:p>
    <w:bookmarkEnd w:id="270"/>
    <w:bookmarkStart w:name="z277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порядок осуществления постоянного усиленного мониторинга финансовых операций и (или) деятельности принятых на обслуживание клиентов (их представителей), являющихся публичными должностными лицами, их супругом (супругой) и близкими родственниками, а также чьими бенефициарными собственниками являются указанные лица независимо от формы их осуществления и суммы, на которую они совершены либо могут или могли быть совершены, включая установление источника происхождения денежных средств и (или) иного имущества таких клиентов.</w:t>
      </w:r>
    </w:p>
    <w:bookmarkEnd w:id="271"/>
    <w:bookmarkStart w:name="z278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назначения субъектом ответственного работника по ПОД/ФТ/ФРОМУ либо работников подразделения по ПОД/ФТ/ФРОМУ, программа мониторинга, изучения операций и (или) деятельности клиентов дополнительно включает, но не ограничивается:</w:t>
      </w:r>
    </w:p>
    <w:bookmarkEnd w:id="272"/>
    <w:bookmarkStart w:name="z279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распределение обязанностей между подразделениями (работниками) субъекта по обновлению ранее полученных и (или) получению дополнительных сведений о клиенте (его представителе) и бенефициарном собственнике в случаях, предусмотренных настоящими Требованиями;</w:t>
      </w:r>
    </w:p>
    <w:bookmarkEnd w:id="273"/>
    <w:bookmarkStart w:name="z280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распределение обязанностей между подразделениями (работниками) субъекта по выявлению и передаче между подразделениями (работниками) сведений о пороговых, необычных, подозрительных операциях и деятельности;</w:t>
      </w:r>
    </w:p>
    <w:bookmarkEnd w:id="274"/>
    <w:bookmarkStart w:name="z281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описание механизма взаимодействия подразделений субъекта при выявлении пороговых, необычных, подозрительных операциях и деятельности клиента;</w:t>
      </w:r>
    </w:p>
    <w:bookmarkEnd w:id="275"/>
    <w:bookmarkStart w:name="z282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порядок, основания и срок принятия ответственным работником по ПОД/ФТ/ФРОМУ решения о квалификации операции и деятельности клиента;</w:t>
      </w:r>
    </w:p>
    <w:bookmarkEnd w:id="276"/>
    <w:bookmarkStart w:name="z283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порядок взаимодействия подразделений (работников) по принятию решения об отказе в проведении операции клиента (за исключением отказа в связи с нахождением клиента, бенефициарного собственника в перечне), а также о прекращении деловых отношений с клиентом;</w:t>
      </w:r>
    </w:p>
    <w:bookmarkEnd w:id="277"/>
    <w:bookmarkStart w:name="z284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порядок взаимодействия подразделений (работников) субъекта по выявлению клиентов и бенефициарных собственников, находящихся в Списке и перечнях, а также по отказу в проведении операции с деньгами и (или) иным имуществом, таких клиентов, обслуживании таких клиентов либо прекращению деловых отношений с ним;</w:t>
      </w:r>
    </w:p>
    <w:bookmarkEnd w:id="278"/>
    <w:bookmarkStart w:name="z285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порядок информирования (при необходимости) должностных лиц субъекта о выявлении пороговой и подозрительной операции и деятельности клиентов из Списка и перечней.</w:t>
      </w:r>
    </w:p>
    <w:bookmarkEnd w:id="279"/>
    <w:bookmarkStart w:name="z286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В рамках программы мониторинга и изучения операций и (или) деятельности клиентов, субъектами проводятся мероприятия, направленные на установление целей и оснований всех пороговых, необычных, подозрительных операций и (или) деятельности, операций, имеющих характеристики, соответствующие типологиям, схемам и способам легализации ОД/ФТ/ФРОМУ.</w:t>
      </w:r>
    </w:p>
    <w:bookmarkEnd w:id="280"/>
    <w:bookmarkStart w:name="z287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мониторинга и изучения операций и (или) деятельности клиентов используются для ежегодной оценки степени подверженности услуг субъектов рискам легализации ОД/ФТ/ФРОМУ, а также для пересмотра уровней рисков клиентов.</w:t>
      </w:r>
    </w:p>
    <w:bookmarkEnd w:id="281"/>
    <w:bookmarkStart w:name="z288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Полученные в рамках реализации программы мониторинга изучения операций и (или) деятельности, клиента сведения вносятся в досье клиента и (или) хранятся у субъекта на протяжении всего периода деловых отношений с клиентом и не менее 5 (пяти) лет после совершения операции. </w:t>
      </w:r>
    </w:p>
    <w:bookmarkEnd w:id="282"/>
    <w:bookmarkStart w:name="z289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37. Частота изучения операций и (или) деятельности клиента определяется субъектами с учетом уровня риска клиента и (или) степени подверженности услуг субъектов, которыми пользуется клиент, рискам легализации ОД/ФТ/ФРОМУ, совершения (попытки совершения) клиентом операций (операции) с деньгами, а также с учетом типологий, схем и способов легализации ОД/ФТ/ФРОМУ, утверждаемых уполномоченным органом по финансовому мониторингу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 Закона.</w:t>
      </w:r>
    </w:p>
    <w:bookmarkEnd w:id="283"/>
    <w:bookmarkStart w:name="z290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присвоения клиенту высокого уровня риска, а также в случае совершения клиентом подозрительной операции субъектами изучаются операции, которые проводит (проводил) клиент за период до проведения операции, определяемый субъектом, но не более одного месяца.</w:t>
      </w:r>
    </w:p>
    <w:bookmarkEnd w:id="284"/>
    <w:bookmarkStart w:name="z291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38. Операции клиента признаются подозрительными в случае, если по результатам изучения операций,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22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Требований, у субъектов имеются основания полагать, что операции и деятельность клиента связаны с легализацией ОД/ФТ/ФРОМУ.</w:t>
      </w:r>
    </w:p>
    <w:bookmarkEnd w:id="285"/>
    <w:bookmarkStart w:name="z292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 признании (непризнании) операции и деятельности клиента в качестве подозрительной операции субъектами принимается самостоятельно на основании имеющейся в его распоряжении сведении и документов, характеризующих статус и деятельность клиента (его представителя) и бенефициарного собственника, осуществляющего операцию, а также информации о финансово-хозяйственной деятельности, финансовом положении и деловой репутации клиента.</w:t>
      </w:r>
    </w:p>
    <w:bookmarkEnd w:id="286"/>
    <w:bookmarkStart w:name="z293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разница между временем совершения операции и временем признания такой операции подозрительной не может превышать промежуток времени, определяющий частоту изучения операции клиента в соответствии с ПВК субъекта.</w:t>
      </w:r>
    </w:p>
    <w:bookmarkEnd w:id="287"/>
    <w:bookmarkStart w:name="z294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 представляют в уполномоченный орган по финансовому мониторингу сообщения о совершении подозрительной операции и деятельности с деньгами и (или) иным имуществом, не позднее рабочего дня, следующего за днем принятия субъектами соответствующего решения (совершения действия) электронным способом посредством выделенных каналов связи.</w:t>
      </w:r>
    </w:p>
    <w:bookmarkEnd w:id="288"/>
    <w:bookmarkStart w:name="z295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Сообщения о совершенных операциях с деньгами и (или) иным имуществом, которые не были признаны подозрительными до их проведения, представляются субъектами в уполномоченный орган по финансовому мониторингу не позднее двадцати четырех часов после признания операции подозрительной.</w:t>
      </w:r>
    </w:p>
    <w:bookmarkEnd w:id="289"/>
    <w:bookmarkStart w:name="z296" w:id="2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Программа подготовки и обучения субъектов в сфере ПОД/ФТ/ФРОМУ</w:t>
      </w:r>
    </w:p>
    <w:bookmarkEnd w:id="290"/>
    <w:bookmarkStart w:name="z297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39. Программа по подготовке, обучению субъектов в сфере ПОД/ФТ/ФРОМУ (далее – программа обучения) разрабатывается в соответствии с Требованиями к субъектам по подготовке и обучению в сфере ПОД/ФТ/ФРОМУ, утверждаемыми уполномоченным органом по финансовому мониторингу по согласованию с государственными органами, осуществляющими в пределах своей компетенции государственный контроль за соблюдением субъектами законодательства Республики Казахстан о ПОД/ФТ/ФРОМУ,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Закона.</w:t>
      </w:r>
    </w:p>
    <w:bookmarkEnd w:id="291"/>
    <w:bookmarkStart w:name="z298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Целью программы обучения является подтверждение работниками субъектов знаний и формирование навыков, необходимых для исполнения ими требований законодательства Республики Казахстан о ПОД/ФТ/ФРОМУ, а также ПВК и иных внутренних документов субъекта в сфере ПОД/ФТ/ФРОМУ. Программа подготовки и обучения должна включать:</w:t>
      </w:r>
    </w:p>
    <w:bookmarkEnd w:id="292"/>
    <w:bookmarkStart w:name="z299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ознакомление работников с нормами законодательства Республики Казахстан о ПОД/ФТ/ФРОМУ и соответствующими международными стандартами, включая рекомендации ФАТФ;</w:t>
      </w:r>
    </w:p>
    <w:bookmarkEnd w:id="293"/>
    <w:bookmarkStart w:name="z300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обучение вопросам применения риск-ориентированного подхода при обслуживании клиентов, включая выявление операций с признаками подозрительности и соответствующих типологий;</w:t>
      </w:r>
    </w:p>
    <w:bookmarkEnd w:id="294"/>
    <w:bookmarkStart w:name="z301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формирование у работников практических навыков выявления и анализа операций клиентов, характерных для деятельности на товарной бирже, с учетом рисков совершения сделок в целях ОД/ФТ/ФРОМУ;</w:t>
      </w:r>
    </w:p>
    <w:bookmarkEnd w:id="295"/>
    <w:bookmarkStart w:name="z302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обучение процедурам идентификации клиентов, бенефициарных собственников и ПДЛ (публичных должностных лиц);</w:t>
      </w:r>
    </w:p>
    <w:bookmarkEnd w:id="296"/>
    <w:bookmarkStart w:name="z303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изучение порядка документального оформления операций, сообщений в уполномоченный орган по финансовому мониторингу, ведения досье клиента, а также внутреннего документооборота в сфере ПОД/ФТ/ФРОМУ;</w:t>
      </w:r>
    </w:p>
    <w:bookmarkEnd w:id="297"/>
    <w:bookmarkStart w:name="z304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изучение обязанностей и ответственности работников субъекта за соблюдение требований Закона;</w:t>
      </w:r>
    </w:p>
    <w:bookmarkEnd w:id="298"/>
    <w:bookmarkStart w:name="z305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обновления знаний работников по мере внесения изменений в законодательство и внутренние процедуры субъекта.</w:t>
      </w:r>
    </w:p>
    <w:bookmarkEnd w:id="29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