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2324" w14:textId="e072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15 декабря 2025 года № 246. Зарегистрирован в Министерстве юстиции Республики Казахстан 19 декабря 2025 года № 37612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(далее – Перечень),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игорного бизнеса и лотереи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пункта 2 настоящего приказа обеспечить представление информации об исполнении в Департамент юридической службы Министерства туризма и 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сорок третьего и сорок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туризма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Рапиков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 № 246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июля 2015 года № 249 "Об утверждении формы представления отчетности организатора игорного бизнеса, Правил осуществления сбора и анализа отчетности, представляемой организатором игорного бизнеса" (зарегистрирован в Реестре государственной регистрации нормативных правовых актов под № 11948) следующие изменения: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сбора и анализа отчетности, представляемой организатором игорного бизнеса,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Отчетность содержит следующую информацию: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бизнес идентификационном номере организатора игорного бизнеса;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организатора игорного бизнеса;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деятельности;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юридический адрес;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численности работников организатора игорного бизнеса на начало отчетного периода;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численности работников организатора игорного бизнеса на конец отчетного периода;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количестве участников азартных игр и (или) пари (резиденты) на начало отчетного периода;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количестве участников азартных игр и (или) пари (нерезиденты) на начало отчетного периода;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количестве участников азартных игр и (или) пари (резиденты) на конец периода;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количестве участников азартных игр и (или) пари (нерезиденты) на конец периода;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сведения о количестве отказов в установлении деловых отношений с участниками по основаниям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количестве посещений игорных заведений одними и теми же участниками азартных игр в отчетный период (менее 10 посещений, более 10 посещений, более 50 посещений);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сумме уплаченной платы за пользование лицензией на занятие деятельностью в сфере игорного бизнеса за отчетный период;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сведения о сумме обеспечения на каждую лицензию в виде обязательных резервов,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суммах выплаченных выигрышей участникам азартных игр и (или) пари;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об общей сумме совершенных ставок за отчетный период;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наименование и вид игорного оборудования;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количество игорного оборудования;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сведения о серийном и (или) инвентарном номере игорного оборудования;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сведения о производителе игорного оборудования;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сведения о техническом состоянии игорного оборудования, игровых автоматов;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сведения об установленном проценте выигрыша, технологически заложенном в игровой автомат;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сведения о техническом состоянии видеозаписывающих систем, в том числе о наименовании видеозаписывающей системы, количестве, дате тестирования оборудования;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сведения о кассе (-ах), в том числе о виде, количестве и месторасположении кассы (адрес);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сведения о постановке на регистрационный учет объектов налогообложения/касс (-ы) в органах государственных доходов;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сведения об изменении количества столов, замены оборудования, в том числе серийный или инвентарный номер заменившего оборудования;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сведения об изменении количества столов, замены оборудования, в том числе о количестве игровых столов, указанных при получении лицензии;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сведения об изменении количества столов, замены оборудования, в том числе информация об увеличении и сокращении количества игровых столов;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сведения о бенефициарных собственниках в составе учредителей, руководителей организатора игорного бизнеса и о первых руководителях организатора игорного бизнеса.".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8 февраля 2023 года № 45 "Об утверждении Правил проведения лотерей" (зарегистрирован в Реестре государственной регистрации нормативных правовых актов под № 31880) следующее изменение: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лотерей, утвержденных указанным приказом: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Оператор лотереи при приеме, учете, хранении и передаче информации посредством центра обработки лотерейной информации обеспечивает соблюдение законодательства Республики Казахстан по защите и нераспространению персональных данных, неразглашению коммерческой, налоговой и иной охраняемой законами Республики Казахстан тайны, а также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туризма и спорта Республики Казахстан от 9 октября 2024 года № 175 "Об утверждении Типовых правил работы игорного заведения, букмекерской конторы или тотализатора, приема ставок и проводимых азартных игр и (или) пари" (зарегистрирован в Реестре государственной регистрации нормативных правовых актов под № 35240) следующие изменения: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игорного заведения, букмекерской конторы или тотализатора, приема ставок и проводимых азартных игр и (или) пари, утвержденных указанным приказом: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Организаторы игорного бизнеса, осуществляющие деятельность казино, зала игровых автоматов, принимают меры по надлежащей проверке участников азартной игры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Организаторы игорного бизнеса, осуществляющие деятельность букмекерской конторы или тотализатора, принимают меры по надлежащей проверке участников пари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ПОД/ФТ/ФРОМУ.".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2 апреля 2025 года № 46 "Об утверждении Правил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Казахстан" (зарегистрирован в Реестре государственной регистрации нормативных правовых актов под № 35924) следующие изменения: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Казахстан, утвержденных указанным приказом: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аппаратно-программный комплекс (далее – АПК) – совокупность программных и технических средств, обеспечивающих информационные процессы;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пари – основанное на риске соглашение, заключенное участниками между собой либо с организатором игорного бизнеса, на исход события, предполагающий выигрыш, в котором они не принимают участия;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ЕСУ – совокупность программного обеспечения и технических средств, подключенных посредством сетей телекоммуникаций к АПК букмекерской конторы и (или) тотализатора и обеспечивающих прием (осуществление) наличных и безналичных платежей, в том числе с использованием электронных денег, выплату выигрышей, а также осуществляющих персонифицированный сбор, обработку и хранение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 и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букмекерская контора – организатор игорного бизнеса, заключающий пари с участниками;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сервис контроля доступа к персональным данным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в сфере защиты персональных данных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по финансовому мониторингу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 азартной игры и (или) пари – физическое лицо, принимающее участие в азартной игре и (или) пари;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ставка – сумма денег, передаваемых участником азартной игры и (или) пари организатору игорного бизнеса и являющихся основным условием участия в азартной игре и (или) пари в соответствии с правилами, установленными организатором игорного бизнеса;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сфере игорного бизнеса (далее – уполномоченный орган) – государственный орган, определяемый Правительством Республики Казахстан, осуществляющий реализацию государственной политики и контроль в сфере игорного бизнеса;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 обмена идентификационными данными (далее – ЦОИД) – операционный центр межбанковской системы переводов денег, обеспечивающий взаимодействие с банками по обмену данными клиентов из доступных источников для проведения процедур идентификации клиентов;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тотализатор – организатор игорного бизнеса, оказывающий посреднические услуги при заключении пари между его участниками;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выигрыш – имущественная выгода, подлежащая обязательной выплате участнику азартной игры и (или) пари при наступлении результата азартной игры и (или) пари, предусмотренного правилами, установленными организатором игорного бизнеса;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электронный кошелек электронных денег (далее – электронный кошелек) – способ учета и хранения электронных денег, обеспечивающий распоряжение ими.";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Оператор при приеме (осуществлении) платежей с использованием электронных денег, от участников пари посредством ЕСУ проводит идентификацию личности участника пари в соответствии с законами Республики Казахстан о </w:t>
      </w:r>
      <w:r>
        <w:rPr>
          <w:rFonts w:ascii="Times New Roman"/>
          <w:b w:val="false"/>
          <w:i w:val="false"/>
          <w:color w:val="000000"/>
          <w:sz w:val="28"/>
        </w:rPr>
        <w:t>ПОД/ФТ/ФРОМУ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деловых отношений с участником пари ЕСУ осуществляется проверка его возраста, наличие в списке лиц, ограниченных в участии в азартных играх и (или) пари, и в Едином реестре должников на предмет наличия неисполненных обязательств по исполнительным документам об имущественных взысканиях, а также в списке лиц, причастных к террористической деятельности, в перечне лиц, связанных с финансированием терроризма и экстремизма, в перечне лиц, связанных с финансированием распространения оружия массового уничтожения,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посредством ЕСУ отказывает в приеме (осуществлении) платежей с использованием электронных денег, а также выплатах лицам, находящимся в списках и (или) реестре и (или) перечнях, указанных в абзаце втором настоящего пункта.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обеспечивает интеграцию ЕСУ с базами данных информационных систем, содержащих информацию о лицах, которым запрещается участвовать в азартных играх и (или) пари.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осуществляет идентификацию личности участника пари при его личном присутствии и предъявлении им документа, удостоверяющего личность, либо посредством удаленной идентификации на основании сведений, полученных от ЦОИД или путем упрощенной идентификации.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согласия участников пари на сбор, обработку персональных данных, содержащихся в базах данных государственных информационных систем, или их передачу третьим лицам, оператор обеспечивает интеграцию ЕСУ с государственным сервисом контроля доступа к персональным данным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с государственным сервисом контроля доступа к персональным данным, утвержденными приказом исполняющего обязанности Министра цифрового развития, инноваций и аэрокосмической промышленности Республики Казахстан от 8 июля 2022 года № 236/НҚ (зарегистрирован в Реестре государственной регистрации нормативных правовых актов под № 28786).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Идентификацию или упрощенную идентификацию личности участника пари осуществляет оператор, и (или) иной субъект финансового мониторинга по поручению оператора на основании договора.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прохождению идентификации или упрощенной идентификации представляются участнику пари перед прохождением данной процедуры.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идентификации или упрощенной идентификации участник пари предоставляет оператору, необходимые идентификационные сведения, а также фотоизображения в соответствии с требованиями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Удаленная идентификация личности участника пари осуществляется на основании сведений из доступных источников, полученных от ЦОИД.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Упрощенная идентификация участника пари осуществляется путем проведения сеанса видеоконференции или путем фиксирования изображения участника пари с помощью специализированного приложения, реализующего технологию выявления движения, интервьюируемого в процессе идентификации.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упрощенной идентификации осуществляется: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фиксирование лица участника пари и документа, удостоверяющего его личность;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из открытых источников подтверждения об индивидуальном идентификационном номере (ИИН) участника пари.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или упрощенная идентификация личности участника пари считается пройденной успешно, если его личность установлена и подтверждена в соответствии с законодательством Республики Казахстан.";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Хранение информации в ЕСУ включает в себя мероприятия, связанные с ее защитой от утраты, хищения, искажения, подделки, несанкционированного доступа и действий по ее распространению, блокированию, уничтожению, модификации, копированию и иных незаконных действий, в том числе: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комплекса программно-технических средств и поддерживающих их организационных мер на всех технологических этапах обработки информации и во всех режимах функционирования, в том числе при проведении ремонтных и регламентных работ;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удаление персональных данных участников пари по истечении пяти лет со дня прекращения деловых отношений с ним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ПОД/ФТ/ФРОМУ;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обеспечению безопасности программного обеспечения, включающего: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приложений на логические группы и помещение каждой группы в выделенную виртуальную машину;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изоляцию внешнего сетевого трафика от внутреннего сетевого трафика;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резервирование каждого программного компонента ЕСУ по схеме, при которой активное оборудование резервируется одним дополнительным компонентом;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прямого доступа к серверам других специалистов, кроме системных и сетевых инженеров.";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Оператор при сборе, обработке, хранении и передаче информации, указанной в пункте 16 настоящих Правил, посредством ЕСУ обеспечивает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Закона о персональных данных.".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10" w:id="9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регулированию игорного бизнеса и лотереи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www.tsm.gov.kz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представления отчетности организатора игорного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1-(ОИБ)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организаторы игорного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(юридические лица, осуществляющие организацию и проведение азартных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игр и (или) пари)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один раз в квартал,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числа месяца,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организатора игорного бизнеса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организатора игорного бизнеса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организатора игорного бизнеса,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азартных игр и (или) пари на начало отчетного периода,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азартных игр и (или) пари на конец отчетного периода,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отказов в установлении деловых отношений с участниками по основаниям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ПОД/ФТ/ФРОМУ*,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игорных заведений одними и теми же участниками азартных игр в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сумме уплаченной платы за пользование лицензией на занятие деятельностью в сфере игорного бизнеса 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суммах обязательных резервов, фактически размещенных в банке (-ах) по состоянию на день предоставления отчетности**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суммах выплаченных выигрышей участникам азартных игр и (или) пари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совершенных ставок за отчетный период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посещений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посещений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посещений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игорного оборудования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игорного оборудования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и (или) инвентарный номер игорного оборудования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игорного оборудования, игровых автоматов (новое/бывшее в употреблении)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 (для новых игровых автоматов)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процент выигрыша, технологически заложенный в игровой автомат (для зала игровых автоматов)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техническом состоянии видеозаписывающих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видеозаписывающей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техническом состоянии видеозаписывающих систем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кассе (-ах), в том числе вид, количество и месторасположение кассы (адрес)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постановке на регистрационный учет объектов налогообложения/ касс (-ы) в органах государственных доходов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изменении количества столов, замены оборудования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бенефициарных собственниках в составе учредителей, руководителей организатора игорного бизнеса и о первых руководителях организатора игорного бизнеса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или инвентарный номер заменившего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игровых столов, указанных при получении лицензии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увеличении и сокращении количества игровых столов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</w:t>
      </w:r>
      <w:r>
        <w:rPr>
          <w:rFonts w:ascii="Times New Roman"/>
          <w:b w:val="false"/>
          <w:i w:val="false"/>
          <w:color w:val="000000"/>
          <w:sz w:val="28"/>
        </w:rPr>
        <w:t>Закон о ПОД/ФТ/ФРОМУ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Закон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**В целях подтверждения наличия обязательных резервов к отчетности прилагается справка о наличии и движении денег по банковским счетам, открытым при заключении договора банковского вклада.</w:t>
      </w:r>
    </w:p>
    <w:bookmarkEnd w:id="97"/>
    <w:p>
      <w:pPr>
        <w:spacing w:after="0"/>
        <w:ind w:left="0"/>
        <w:jc w:val="both"/>
      </w:pPr>
      <w:bookmarkStart w:name="z116" w:id="98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организации: 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игорного заведения или товарного знака (при наличии)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Интернет-ресурс (при наличии)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выданной лицензии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сведения, указанные в настоящей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или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11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Форма отчетности организатора игорного бизнеса</w:t>
      </w:r>
      <w:r>
        <w:br/>
      </w:r>
      <w:r>
        <w:rPr>
          <w:rFonts w:ascii="Times New Roman"/>
          <w:b/>
          <w:i w:val="false"/>
          <w:color w:val="000000"/>
        </w:rPr>
        <w:t>Индекс: 1 - (ОИБ), периодичность: ежеквартальная</w:t>
      </w:r>
    </w:p>
    <w:bookmarkEnd w:id="99"/>
    <w:bookmarkStart w:name="z11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представления отчетности организатора игорного бизнеса.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организаторами игорного бизнеса (юридическими лицами, осуществляющим организацию и проведение азартных игр и (или) пари), и представляется в уполномоченный орган в сфере игорного бизнеса.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заверяется подписью или электронной цифровой подписью руководителя организатора игорного бизнеса, либо лица его заменяющего (с приложением копии приказа о возложении обязанностей), а также печатью организации (при наличии).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ежеквартально, не позднее 10 числа месяца, следующего за отчетным периодом.</w:t>
      </w:r>
    </w:p>
    <w:bookmarkEnd w:id="104"/>
    <w:bookmarkStart w:name="z12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заполняется номер по порядку.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бизнес идентификационный номер организатора игорного бизнеса.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наименование организатора игорного бизнеса.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вид деятельности.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юридический адрес.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6, 7 указываются сведения о численности работников организатора игорного бизнеса на начало и на конец отчетного периода.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8, 9 указываются сведения о количестве участников азартных игр и (или) пари (резиденты, нерезиденты) на начало отчетного периода.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10, 11 указываются сведения о количестве участников азартных игр и (или) пари (резиденты, нерезиденты) на конец отчетного периода.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12 указываются сведения о количестве отказов в установлении деловых отношений с участниками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13, 14, 15 указываются сведения о количестве посещений игорных заведений одними и теми же участниками азартных игр в отчетный период (менее 10 посещений, более 10 посещений, более 50 посещений).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16 указываются сведения о сумме уплаченной платы за пользование лицензией на занятие деятельностью в сфере игорного бизнеса за отчетный период.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графе 17 указываются сведения о сумме обеспечения на каждую лицензию в виде обязательных резервов,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бизнесе", фактически размещенных в банке (-ах) по состоянию на день предоставления отчетности.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18 указываются сведения о сумме выплаченных выигрышей участникам азартных игр и (или) пари.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19 указываются сведения об общей сумме совершенных ставок за отчетный период.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20 указываются наименование и вид игорного оборудования.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21 указывается количество игорного оборудования.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22 указывается серийный и (или) инвентарный номер игорного оборудования.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23 указывается производитель игорного оборудования.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24 указывается техническое состояние игорного оборудования, игровых автоматов (новое/бывшее в употреблении).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25 указывается дата тестирования игорного оборудования (для новых игровых автоматов).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26 указывается установленный процент выигрыша, технологически заложенный в игровой автомат (для зала игровых автоматов).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графах 27, 28, 29, 30 указываются сведения о техническом состоянии видеозаписывающих систем, в том числе наименование видеозаписывающей системы, количество, техническое состояние, дата тестирования оборудования.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31 указываются данные о кассе (-ах), в том числе вид, количество, месторасположение кассы (адрес).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32 указываются сведения о постановке на регистрационный учет объектов налогообложения/касс (-ы) в органах государственных доходов.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графах 33, 34, 35 указываются сведения об изменении количества столов, замены оборудования, в том числе серийный или инвентарный номер заменившего оборудования, количество игровых столов, указанных при получении лицензии, информация об увеличении и сокращении количества игровых столов.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36 указываются сведения о бенефициарных собственниках в составе учредителей, руководителей организатора игорного бизнеса и о первых руководителях организатора игорного бизнеса.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