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593e8" w14:textId="e9593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экологии и природных ресурсов Республики Казахстан от 26 декабря 2023 года № 375 "Об утверждении Правил направления денег оператором расширенных обязательств производителей (импортеров), поступивших на его банковский счет от производителей и импортеров на организацию сбора, транспортировки, подготовки к повторному использованию, сортировки, обработки, переработки, обезвреживания и (или) утилизации за пределами Республики Казахстан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для которых на территории Республики Казахстан отсутствуют объекты по обезвреживанию, переработке и (или) утилизации, путем выплат"</w:t>
      </w:r>
    </w:p>
    <w:p>
      <w:pPr>
        <w:spacing w:after="0"/>
        <w:ind w:left="0"/>
        <w:jc w:val="both"/>
      </w:pPr>
      <w:r>
        <w:rPr>
          <w:rFonts w:ascii="Times New Roman"/>
          <w:b w:val="false"/>
          <w:i w:val="false"/>
          <w:color w:val="000000"/>
          <w:sz w:val="28"/>
        </w:rPr>
        <w:t>Приказ Министра экологии и природных ресурсов Республики Казахстан от 10 декабря 2025 года № 341. Зарегистрирован в Министерстве юстиции Республики Казахстан 15 декабря 2025 года № 37597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экологии и природных ресурсов Республики Казахстан от 26 декабря 2023 года № 375 "Об утверждении Правил направления денег оператором расширенных обязательств производителей (импортеров), поступивших на его банковский счет от производителей и импортеров на организацию сбора, транспортировки, подготовки к повторному использованию, сортировки, обработки, переработки, обезвреживания и (или) утилизации за пределами Республики Казахстан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для которых на территории Республики Казахстан отсутствуют объекты по обезвреживанию, переработке и (или) утилизации, путем выплат" (далее – Правила) (зарегистрирован в Реестре государственной регистрации нормативных правовых актов № 33807)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11.3</w:t>
      </w:r>
      <w:r>
        <w:rPr>
          <w:rFonts w:ascii="Times New Roman"/>
          <w:b w:val="false"/>
          <w:i w:val="false"/>
          <w:color w:val="000000"/>
          <w:sz w:val="28"/>
        </w:rPr>
        <w:t>. приложения 4 изложить в следующей редакции:</w:t>
      </w:r>
    </w:p>
    <w:bookmarkStart w:name="z8" w:id="3"/>
    <w:p>
      <w:pPr>
        <w:spacing w:after="0"/>
        <w:ind w:left="0"/>
        <w:jc w:val="both"/>
      </w:pPr>
      <w:r>
        <w:rPr>
          <w:rFonts w:ascii="Times New Roman"/>
          <w:b w:val="false"/>
          <w:i w:val="false"/>
          <w:color w:val="000000"/>
          <w:sz w:val="28"/>
        </w:rPr>
        <w:t>
      "11.3 При исполнении своих обязательств по Договору, Стороны, их работники или представители не осуществляют действия, квалифицируемые законодательством Республики Казахстан как дача/получение взятки, коммерческий подкуп, а также действия, нарушающие требования законодательства Республики Казахстан о противодействии коррупции,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3"/>
    <w:bookmarkStart w:name="z9" w:id="4"/>
    <w:p>
      <w:pPr>
        <w:spacing w:after="0"/>
        <w:ind w:left="0"/>
        <w:jc w:val="both"/>
      </w:pPr>
      <w:r>
        <w:rPr>
          <w:rFonts w:ascii="Times New Roman"/>
          <w:b w:val="false"/>
          <w:i w:val="false"/>
          <w:color w:val="000000"/>
          <w:sz w:val="28"/>
        </w:rPr>
        <w:t>
      2. Департаменту управления отходами Министерства экологии и природных ресурсов Республики Казахстан в установленном законодательством порядке обеспечить:</w:t>
      </w:r>
    </w:p>
    <w:bookmarkEnd w:id="4"/>
    <w:bookmarkStart w:name="z10"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1"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и природных ресурсов Республики Казахстан после его официального опубликования.</w:t>
      </w:r>
    </w:p>
    <w:bookmarkEnd w:id="6"/>
    <w:bookmarkStart w:name="z12"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сведения об исполнении мероприятий, предусмотренных подпунктами 1) и 2) настоящего пункта.</w:t>
      </w:r>
    </w:p>
    <w:bookmarkEnd w:id="7"/>
    <w:bookmarkStart w:name="z13"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и природных ресурсов Республики Казахстан.</w:t>
      </w:r>
    </w:p>
    <w:bookmarkEnd w:id="8"/>
    <w:bookmarkStart w:name="z14"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экологии</w:t>
            </w:r>
          </w:p>
          <w:p>
            <w:pPr>
              <w:spacing w:after="20"/>
              <w:ind w:left="20"/>
              <w:jc w:val="both"/>
            </w:pPr>
          </w:p>
          <w:p>
            <w:pPr>
              <w:spacing w:after="20"/>
              <w:ind w:left="20"/>
              <w:jc w:val="both"/>
            </w:pPr>
            <w:r>
              <w:rPr>
                <w:rFonts w:ascii="Times New Roman"/>
                <w:b w:val="false"/>
                <w:i/>
                <w:color w:val="000000"/>
                <w:sz w:val="20"/>
              </w:rPr>
              <w:t>и природных ресурсов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Агентство по финансовому мониторингу</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