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c77fa" w14:textId="92c77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здравоохранения Республики Казахстан</w:t>
      </w:r>
    </w:p>
    <w:p>
      <w:pPr>
        <w:spacing w:after="0"/>
        <w:ind w:left="0"/>
        <w:jc w:val="both"/>
      </w:pPr>
      <w:r>
        <w:rPr>
          <w:rFonts w:ascii="Times New Roman"/>
          <w:b w:val="false"/>
          <w:i w:val="false"/>
          <w:color w:val="000000"/>
          <w:sz w:val="28"/>
        </w:rPr>
        <w:t>Приказ Министра здравоохранения Республики Казахстан от 18 ноября 2025 года № 147. Зарегистрирован в Министерстве юстиции Республики Казахстан 19 ноября 2025 года № 37436</w:t>
      </w:r>
    </w:p>
    <w:p>
      <w:pPr>
        <w:spacing w:after="0"/>
        <w:ind w:left="0"/>
        <w:jc w:val="both"/>
      </w:pPr>
      <w:bookmarkStart w:name="z4" w:id="0"/>
      <w:r>
        <w:rPr>
          <w:rFonts w:ascii="Times New Roman"/>
          <w:b w:val="false"/>
          <w:i w:val="false"/>
          <w:color w:val="000000"/>
          <w:sz w:val="28"/>
        </w:rPr>
        <w:t xml:space="preserve">
      1. Утвердить перечень некоторых приказов Министра здравоохранения Республики Казахстан, в которые вносятся изменения и дополнения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0"/>
    <w:bookmarkStart w:name="z5" w:id="1"/>
    <w:p>
      <w:pPr>
        <w:spacing w:after="0"/>
        <w:ind w:left="0"/>
        <w:jc w:val="both"/>
      </w:pPr>
      <w:r>
        <w:rPr>
          <w:rFonts w:ascii="Times New Roman"/>
          <w:b w:val="false"/>
          <w:i w:val="false"/>
          <w:color w:val="000000"/>
          <w:sz w:val="28"/>
        </w:rPr>
        <w:t>
      2.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w:t>
      </w:r>
    </w:p>
    <w:bookmarkEnd w:id="1"/>
    <w:bookmarkStart w:name="z6"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
    <w:bookmarkStart w:name="z7" w:id="3"/>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3"/>
    <w:bookmarkStart w:name="z8" w:id="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"СОГЛАСОВАНО"</w:t>
      </w:r>
    </w:p>
    <w:bookmarkEnd w:id="7"/>
    <w:p>
      <w:pPr>
        <w:spacing w:after="0"/>
        <w:ind w:left="0"/>
        <w:jc w:val="both"/>
      </w:pPr>
      <w:r>
        <w:rPr>
          <w:rFonts w:ascii="Times New Roman"/>
          <w:b w:val="false"/>
          <w:i w:val="false"/>
          <w:color w:val="000000"/>
          <w:sz w:val="28"/>
        </w:rPr>
        <w:t>Министерство науки</w:t>
      </w:r>
    </w:p>
    <w:p>
      <w:pPr>
        <w:spacing w:after="0"/>
        <w:ind w:left="0"/>
        <w:jc w:val="both"/>
      </w:pPr>
      <w:r>
        <w:rPr>
          <w:rFonts w:ascii="Times New Roman"/>
          <w:b w:val="false"/>
          <w:i w:val="false"/>
          <w:color w:val="000000"/>
          <w:sz w:val="28"/>
        </w:rPr>
        <w:t>и высшего образования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ноября 2025 года № 147</w:t>
            </w:r>
          </w:p>
        </w:tc>
      </w:tr>
    </w:tbl>
    <w:bookmarkStart w:name="z14" w:id="8"/>
    <w:p>
      <w:pPr>
        <w:spacing w:after="0"/>
        <w:ind w:left="0"/>
        <w:jc w:val="left"/>
      </w:pPr>
      <w:r>
        <w:rPr>
          <w:rFonts w:ascii="Times New Roman"/>
          <w:b/>
          <w:i w:val="false"/>
          <w:color w:val="000000"/>
        </w:rPr>
        <w:t xml:space="preserve"> Перечень некоторых приказов Министра здравоохранения Республики Казахстан, в которые вносятся изменения и дополнения</w:t>
      </w:r>
    </w:p>
    <w:bookmarkEnd w:id="8"/>
    <w:bookmarkStart w:name="z15" w:id="9"/>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23 октября 2020 года № ҚР ДСМ-151/2020 "Об утверждении Положения по Центральной комиссии по биоэтике" (зарегистрирован в Реестре государственной регистрации нормативных правовых актов под № 21512) следующие изменения: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7" w:id="1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228 Кодекса Республики Казахстан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Центральной комиссии по биоэтике, утвержденном указанным приказом: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0" w:id="12"/>
    <w:p>
      <w:pPr>
        <w:spacing w:after="0"/>
        <w:ind w:left="0"/>
        <w:jc w:val="both"/>
      </w:pPr>
      <w:r>
        <w:rPr>
          <w:rFonts w:ascii="Times New Roman"/>
          <w:b w:val="false"/>
          <w:i w:val="false"/>
          <w:color w:val="000000"/>
          <w:sz w:val="28"/>
        </w:rPr>
        <w:t xml:space="preserve">
      "1. Настоящее Положение о Центральной комиссии по биоэтике (далее – Комиссия) разработан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228 Кодекса Республики Казахстан "О здоровье народа и системе здравоохранения" (далее – Кодекс) и определяет статус и полномочия Комиссии.";</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6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7 изложить в следующей редакции:</w:t>
      </w:r>
    </w:p>
    <w:bookmarkStart w:name="z23" w:id="13"/>
    <w:p>
      <w:pPr>
        <w:spacing w:after="0"/>
        <w:ind w:left="0"/>
        <w:jc w:val="both"/>
      </w:pPr>
      <w:r>
        <w:rPr>
          <w:rFonts w:ascii="Times New Roman"/>
          <w:b w:val="false"/>
          <w:i w:val="false"/>
          <w:color w:val="000000"/>
          <w:sz w:val="28"/>
        </w:rPr>
        <w:t>
      "5) осуществление сертификации ЛКБ на соответствие стандартам деятельности биоэтических комиссий;";</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25" w:id="14"/>
    <w:p>
      <w:pPr>
        <w:spacing w:after="0"/>
        <w:ind w:left="0"/>
        <w:jc w:val="both"/>
      </w:pPr>
      <w:r>
        <w:rPr>
          <w:rFonts w:ascii="Times New Roman"/>
          <w:b w:val="false"/>
          <w:i w:val="false"/>
          <w:color w:val="000000"/>
          <w:sz w:val="28"/>
        </w:rPr>
        <w:t>
      "8. Состав комиссии утверждается решением уполномоченного органа и состоит из нечетного числа (не менее 9 (девяти) членов. Председатель и заместитель Председателя Комиссии избираются из числа членов Комиссии на первом заседании путем открытого голосования простым большинством голосов. При отсутствии Председателя его функции исполняет заместитель Председателя. Члены Комиссии участвуют в заседаниях Комиссии без права замены. Секретарь Комиссии не является членом Комиссии.</w:t>
      </w:r>
    </w:p>
    <w:bookmarkEnd w:id="14"/>
    <w:bookmarkStart w:name="z26" w:id="15"/>
    <w:p>
      <w:pPr>
        <w:spacing w:after="0"/>
        <w:ind w:left="0"/>
        <w:jc w:val="both"/>
      </w:pPr>
      <w:r>
        <w:rPr>
          <w:rFonts w:ascii="Times New Roman"/>
          <w:b w:val="false"/>
          <w:i w:val="false"/>
          <w:color w:val="000000"/>
          <w:sz w:val="28"/>
        </w:rPr>
        <w:t>
      9. Для обеспечения деятельности Комиссии формируется секретариат Комиссии на базе Рабочего органа численностью не менее 2 человек, состоящего из руководителя и секретаря. Секретариат непосредственно подотчетен председателю Комиссии и является ответственным за подготовку повестки заседания, оформление протоколов заседаний, делопроизводство, хранение документов Комиссии.</w:t>
      </w:r>
    </w:p>
    <w:bookmarkEnd w:id="15"/>
    <w:bookmarkStart w:name="z27" w:id="16"/>
    <w:p>
      <w:pPr>
        <w:spacing w:after="0"/>
        <w:ind w:left="0"/>
        <w:jc w:val="both"/>
      </w:pPr>
      <w:r>
        <w:rPr>
          <w:rFonts w:ascii="Times New Roman"/>
          <w:b w:val="false"/>
          <w:i w:val="false"/>
          <w:color w:val="000000"/>
          <w:sz w:val="28"/>
        </w:rPr>
        <w:t>
      Рабочий орган предоставляет отдельное помещение для размещения секретариата Комиссии и документов Комиссии, обеспечивает секретариат необходимой оргтехникой, оказывает организационную поддержку.</w:t>
      </w:r>
    </w:p>
    <w:bookmarkEnd w:id="16"/>
    <w:bookmarkStart w:name="z28" w:id="17"/>
    <w:p>
      <w:pPr>
        <w:spacing w:after="0"/>
        <w:ind w:left="0"/>
        <w:jc w:val="both"/>
      </w:pPr>
      <w:r>
        <w:rPr>
          <w:rFonts w:ascii="Times New Roman"/>
          <w:b w:val="false"/>
          <w:i w:val="false"/>
          <w:color w:val="000000"/>
          <w:sz w:val="28"/>
        </w:rPr>
        <w:t>
      10. Состав Комиссии формируется на междисциплинарной основе и состоит из представителей медицинских, гуманитарных профессий, общественных организаций и специалистов в области права. Комиссия создает подкомиссии и рабочие группы для реализации возложенных на нее задач.".</w:t>
      </w:r>
    </w:p>
    <w:bookmarkEnd w:id="17"/>
    <w:bookmarkStart w:name="z29" w:id="18"/>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11 декабря 2020 года № ҚР ДСМ-255/2020 "Об утверждении правил проведения доклинических (неклинических) исследований и требования к доклиническим базам оценки биологического действия медицинских изделий" (зарегистрирован в Реестре государственной регистрации нормативных правовых актов под № 21794) следующие изменения и дополнение:</w:t>
      </w:r>
    </w:p>
    <w:bookmarkEnd w:id="18"/>
    <w:bookmarkStart w:name="z30"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доклинических (неклинических) исследований и требования к доклиническим базам оценки биологического действия медицинских изделий, утвержденных указанным приказом:</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4 изложить в следующей редакции:</w:t>
      </w:r>
    </w:p>
    <w:bookmarkStart w:name="z32" w:id="20"/>
    <w:p>
      <w:pPr>
        <w:spacing w:after="0"/>
        <w:ind w:left="0"/>
        <w:jc w:val="both"/>
      </w:pPr>
      <w:r>
        <w:rPr>
          <w:rFonts w:ascii="Times New Roman"/>
          <w:b w:val="false"/>
          <w:i w:val="false"/>
          <w:color w:val="000000"/>
          <w:sz w:val="28"/>
        </w:rPr>
        <w:t>
      "1) положительного заключения Локальной комиссии по биоэтике, при условии наличия сертификата соответствия стандартам деятельности биоэтических комиссий, выдаваемого Центральной комиссией по биоэтике;";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34" w:id="21"/>
    <w:p>
      <w:pPr>
        <w:spacing w:after="0"/>
        <w:ind w:left="0"/>
        <w:jc w:val="both"/>
      </w:pPr>
      <w:r>
        <w:rPr>
          <w:rFonts w:ascii="Times New Roman"/>
          <w:b w:val="false"/>
          <w:i w:val="false"/>
          <w:color w:val="000000"/>
          <w:sz w:val="28"/>
        </w:rPr>
        <w:t xml:space="preserve">
      "27. Изменения сведений, содержащихся в протоколе исследования, оформляются в виде дополнений к протоколу, которые подписываются всеми лицами, участвовавшими в проведении исследования, с указанием причин изменений, даты и номера дополнения к протоколу исследования. </w:t>
      </w:r>
    </w:p>
    <w:bookmarkEnd w:id="21"/>
    <w:bookmarkStart w:name="z35" w:id="22"/>
    <w:p>
      <w:pPr>
        <w:spacing w:after="0"/>
        <w:ind w:left="0"/>
        <w:jc w:val="both"/>
      </w:pPr>
      <w:r>
        <w:rPr>
          <w:rFonts w:ascii="Times New Roman"/>
          <w:b w:val="false"/>
          <w:i w:val="false"/>
          <w:color w:val="000000"/>
          <w:sz w:val="28"/>
        </w:rPr>
        <w:t>
      О внесении изменений в протокол исследования Локальная комиссия по биоэтике и Совет уведомляются в письменной форме в течение трех рабочих дней с момента подписания дополнения к протоколу. Уведомление содержит сведения о характере изменений, их причины, дату и номер дополнения, а также копию дополнений к протоколу исследования.";</w:t>
      </w:r>
    </w:p>
    <w:bookmarkEnd w:id="22"/>
    <w:bookmarkStart w:name="z36" w:id="23"/>
    <w:p>
      <w:pPr>
        <w:spacing w:after="0"/>
        <w:ind w:left="0"/>
        <w:jc w:val="both"/>
      </w:pPr>
      <w:r>
        <w:rPr>
          <w:rFonts w:ascii="Times New Roman"/>
          <w:b w:val="false"/>
          <w:i w:val="false"/>
          <w:color w:val="000000"/>
          <w:sz w:val="28"/>
        </w:rPr>
        <w:t>
      дополнить пунктом 28-1 следующего содержания:</w:t>
      </w:r>
    </w:p>
    <w:bookmarkEnd w:id="23"/>
    <w:bookmarkStart w:name="z37" w:id="24"/>
    <w:p>
      <w:pPr>
        <w:spacing w:after="0"/>
        <w:ind w:left="0"/>
        <w:jc w:val="both"/>
      </w:pPr>
      <w:r>
        <w:rPr>
          <w:rFonts w:ascii="Times New Roman"/>
          <w:b w:val="false"/>
          <w:i w:val="false"/>
          <w:color w:val="000000"/>
          <w:sz w:val="28"/>
        </w:rPr>
        <w:t>
      "28-1. Подписанный отчет о результатах доклинического (неклинического) исследования направляется в Локальную комиссию по биоэтике и Совет в письменной форме в течение пяти рабочих дней с момента его подписания. Факт направления отчета фиксируется в журнале регистрации документов.";</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39" w:id="25"/>
    <w:p>
      <w:pPr>
        <w:spacing w:after="0"/>
        <w:ind w:left="0"/>
        <w:jc w:val="both"/>
      </w:pPr>
      <w:r>
        <w:rPr>
          <w:rFonts w:ascii="Times New Roman"/>
          <w:b w:val="false"/>
          <w:i w:val="false"/>
          <w:color w:val="000000"/>
          <w:sz w:val="28"/>
        </w:rPr>
        <w:t xml:space="preserve">
      "50. Все доклинические (неклинические) исследования, проводимые на территории Республики Казахстан, подлежат регистрации в Национальном регистре биомедицинских исследований в течение 5 (пяти) рабочих дней с момента инициирования. </w:t>
      </w:r>
    </w:p>
    <w:bookmarkEnd w:id="25"/>
    <w:bookmarkStart w:name="z40" w:id="26"/>
    <w:p>
      <w:pPr>
        <w:spacing w:after="0"/>
        <w:ind w:left="0"/>
        <w:jc w:val="both"/>
      </w:pPr>
      <w:r>
        <w:rPr>
          <w:rFonts w:ascii="Times New Roman"/>
          <w:b w:val="false"/>
          <w:i w:val="false"/>
          <w:color w:val="000000"/>
          <w:sz w:val="28"/>
        </w:rPr>
        <w:t>
      Информация о начале и актуализация данных и результатов доклинических (неклинических) исследований в Национальном регистре биомедицинских исследований вносится в течение 10 (десяти) рабочих дней.".</w:t>
      </w:r>
    </w:p>
    <w:bookmarkEnd w:id="26"/>
    <w:bookmarkStart w:name="z41" w:id="27"/>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24 декабря 2020 года № ҚР ДСМ-328/2020 "Об утверждении правил создания и деятельности биобанков" (зарегистрирован в Реестре государственной регистрации нормативных правовых актов под № 21927) следующее дополнение:</w:t>
      </w:r>
    </w:p>
    <w:bookmarkEnd w:id="27"/>
    <w:bookmarkStart w:name="z42"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создания и деятельности биобанков, утвержденных указанным приказом:</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11 исключить; </w:t>
      </w:r>
    </w:p>
    <w:bookmarkStart w:name="z44" w:id="29"/>
    <w:p>
      <w:pPr>
        <w:spacing w:after="0"/>
        <w:ind w:left="0"/>
        <w:jc w:val="both"/>
      </w:pPr>
      <w:r>
        <w:rPr>
          <w:rFonts w:ascii="Times New Roman"/>
          <w:b w:val="false"/>
          <w:i w:val="false"/>
          <w:color w:val="000000"/>
          <w:sz w:val="28"/>
        </w:rPr>
        <w:t>
      дополнить главой 4 следующего содержания:</w:t>
      </w:r>
    </w:p>
    <w:bookmarkEnd w:id="29"/>
    <w:bookmarkStart w:name="z45" w:id="30"/>
    <w:p>
      <w:pPr>
        <w:spacing w:after="0"/>
        <w:ind w:left="0"/>
        <w:jc w:val="both"/>
      </w:pPr>
      <w:r>
        <w:rPr>
          <w:rFonts w:ascii="Times New Roman"/>
          <w:b w:val="false"/>
          <w:i w:val="false"/>
          <w:color w:val="000000"/>
          <w:sz w:val="28"/>
        </w:rPr>
        <w:t>
      "Глава 4. Порядок хранения биологических материалов</w:t>
      </w:r>
    </w:p>
    <w:bookmarkEnd w:id="30"/>
    <w:bookmarkStart w:name="z46" w:id="31"/>
    <w:p>
      <w:pPr>
        <w:spacing w:after="0"/>
        <w:ind w:left="0"/>
        <w:jc w:val="both"/>
      </w:pPr>
      <w:r>
        <w:rPr>
          <w:rFonts w:ascii="Times New Roman"/>
          <w:b w:val="false"/>
          <w:i w:val="false"/>
          <w:color w:val="000000"/>
          <w:sz w:val="28"/>
        </w:rPr>
        <w:t>
      25. Общее руководство деятельностью биобанка обеспечивает условия хранения биологических материалов, позволяющих сохранять биологические свойства и предотвращать их инфицирование и загрязнение, посредством создания в помещениях (зонах) для хранения биологических материалов:</w:t>
      </w:r>
    </w:p>
    <w:bookmarkEnd w:id="31"/>
    <w:bookmarkStart w:name="z47" w:id="32"/>
    <w:p>
      <w:pPr>
        <w:spacing w:after="0"/>
        <w:ind w:left="0"/>
        <w:jc w:val="both"/>
      </w:pPr>
      <w:r>
        <w:rPr>
          <w:rFonts w:ascii="Times New Roman"/>
          <w:b w:val="false"/>
          <w:i w:val="false"/>
          <w:color w:val="000000"/>
          <w:sz w:val="28"/>
        </w:rPr>
        <w:t>
      1) температурно-влажностного режима (поддержание нормативных параметров температуры и влажности посредством систематического контроля и регулирования с помощью систем кондиционирования воздуха или отопительно-вентиляционных средств);</w:t>
      </w:r>
    </w:p>
    <w:bookmarkEnd w:id="32"/>
    <w:bookmarkStart w:name="z48" w:id="33"/>
    <w:p>
      <w:pPr>
        <w:spacing w:after="0"/>
        <w:ind w:left="0"/>
        <w:jc w:val="both"/>
      </w:pPr>
      <w:r>
        <w:rPr>
          <w:rFonts w:ascii="Times New Roman"/>
          <w:b w:val="false"/>
          <w:i w:val="false"/>
          <w:color w:val="000000"/>
          <w:sz w:val="28"/>
        </w:rPr>
        <w:t>
      2) санитарно-гигиенического режима (гигиеническая обработка, энтомологический и микологический надзор за состоянием биологических материалов);</w:t>
      </w:r>
    </w:p>
    <w:bookmarkEnd w:id="33"/>
    <w:bookmarkStart w:name="z49" w:id="34"/>
    <w:p>
      <w:pPr>
        <w:spacing w:after="0"/>
        <w:ind w:left="0"/>
        <w:jc w:val="both"/>
      </w:pPr>
      <w:r>
        <w:rPr>
          <w:rFonts w:ascii="Times New Roman"/>
          <w:b w:val="false"/>
          <w:i w:val="false"/>
          <w:color w:val="000000"/>
          <w:sz w:val="28"/>
        </w:rPr>
        <w:t>
      3) светового режима (поддержание нормативных параметров освещенности биологических материалов посредством использования высокоэффективного светозащитного оборудования).</w:t>
      </w:r>
    </w:p>
    <w:bookmarkEnd w:id="34"/>
    <w:bookmarkStart w:name="z50" w:id="35"/>
    <w:p>
      <w:pPr>
        <w:spacing w:after="0"/>
        <w:ind w:left="0"/>
        <w:jc w:val="both"/>
      </w:pPr>
      <w:r>
        <w:rPr>
          <w:rFonts w:ascii="Times New Roman"/>
          <w:b w:val="false"/>
          <w:i w:val="false"/>
          <w:color w:val="000000"/>
          <w:sz w:val="28"/>
        </w:rPr>
        <w:t>
      26. Исследовательский центр, на базе которого создан биобанк, реализует меры, направленные на соблюдение его работниками настоящих требований и правил при хранении биологических материалов для научных и медицинских целей. Исследовательским центром утверждаются документы, регламентирующие порядок совершения работниками действий при осуществлении хранения биологических материалов, порядок обслуживания и поверки измерительных приборов и оборудования в биобанках, ведение записей, отчетов и их хранение, прием, транспортировка, размещение биологических материалов в биобанках, и организации контроля за соблюдением стандартных операционных процедур в биобанках.</w:t>
      </w:r>
    </w:p>
    <w:bookmarkEnd w:id="35"/>
    <w:bookmarkStart w:name="z51" w:id="36"/>
    <w:p>
      <w:pPr>
        <w:spacing w:after="0"/>
        <w:ind w:left="0"/>
        <w:jc w:val="both"/>
      </w:pPr>
      <w:r>
        <w:rPr>
          <w:rFonts w:ascii="Times New Roman"/>
          <w:b w:val="false"/>
          <w:i w:val="false"/>
          <w:color w:val="000000"/>
          <w:sz w:val="28"/>
        </w:rPr>
        <w:t>
      27. Исследовательский центр обеспечивает:</w:t>
      </w:r>
    </w:p>
    <w:bookmarkEnd w:id="36"/>
    <w:bookmarkStart w:name="z52" w:id="37"/>
    <w:p>
      <w:pPr>
        <w:spacing w:after="0"/>
        <w:ind w:left="0"/>
        <w:jc w:val="both"/>
      </w:pPr>
      <w:r>
        <w:rPr>
          <w:rFonts w:ascii="Times New Roman"/>
          <w:b w:val="false"/>
          <w:i w:val="false"/>
          <w:color w:val="000000"/>
          <w:sz w:val="28"/>
        </w:rPr>
        <w:t>
      1) хранение биологических материалов с соблюдением требований, утвержденных документами исследовательского центра;</w:t>
      </w:r>
    </w:p>
    <w:bookmarkEnd w:id="37"/>
    <w:bookmarkStart w:name="z53" w:id="38"/>
    <w:p>
      <w:pPr>
        <w:spacing w:after="0"/>
        <w:ind w:left="0"/>
        <w:jc w:val="both"/>
      </w:pPr>
      <w:r>
        <w:rPr>
          <w:rFonts w:ascii="Times New Roman"/>
          <w:b w:val="false"/>
          <w:i w:val="false"/>
          <w:color w:val="000000"/>
          <w:sz w:val="28"/>
        </w:rPr>
        <w:t>
      2) определение ответственности работников биобанка за нарушение требований должностных инструкций;</w:t>
      </w:r>
    </w:p>
    <w:bookmarkEnd w:id="38"/>
    <w:bookmarkStart w:name="z54" w:id="39"/>
    <w:p>
      <w:pPr>
        <w:spacing w:after="0"/>
        <w:ind w:left="0"/>
        <w:jc w:val="both"/>
      </w:pPr>
      <w:r>
        <w:rPr>
          <w:rFonts w:ascii="Times New Roman"/>
          <w:b w:val="false"/>
          <w:i w:val="false"/>
          <w:color w:val="000000"/>
          <w:sz w:val="28"/>
        </w:rPr>
        <w:t>
      3) документальное оформление процесса хранения биологических материалов в ходе выполнения или после завершения биомедицинского исследования;</w:t>
      </w:r>
    </w:p>
    <w:bookmarkEnd w:id="39"/>
    <w:bookmarkStart w:name="z55" w:id="40"/>
    <w:p>
      <w:pPr>
        <w:spacing w:after="0"/>
        <w:ind w:left="0"/>
        <w:jc w:val="both"/>
      </w:pPr>
      <w:r>
        <w:rPr>
          <w:rFonts w:ascii="Times New Roman"/>
          <w:b w:val="false"/>
          <w:i w:val="false"/>
          <w:color w:val="000000"/>
          <w:sz w:val="28"/>
        </w:rPr>
        <w:t>
      4) в отношении каждого нарушения требований внутреннюю проверку и разработку корректирующих действии с целью устранения выявленных нарушений.</w:t>
      </w:r>
    </w:p>
    <w:bookmarkEnd w:id="40"/>
    <w:bookmarkStart w:name="z56" w:id="41"/>
    <w:p>
      <w:pPr>
        <w:spacing w:after="0"/>
        <w:ind w:left="0"/>
        <w:jc w:val="both"/>
      </w:pPr>
      <w:r>
        <w:rPr>
          <w:rFonts w:ascii="Times New Roman"/>
          <w:b w:val="false"/>
          <w:i w:val="false"/>
          <w:color w:val="000000"/>
          <w:sz w:val="28"/>
        </w:rPr>
        <w:t xml:space="preserve">
      28. Помещения (зоны), используемые для хранения биологических материалов в биобанках, должны соответствовать требованиям законодательства Республики Казахстан, в том числе,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11 августа 2020 года № ҚР ДСМ-96/2020 "Об утверждении Санитарных правил "Санитарно-эпидемиологические требования к объектам здравоохранения"" (зарегистрирован в Реестре государственной регистрации нормативных правовых актов под № 21080), </w:t>
      </w:r>
      <w:r>
        <w:rPr>
          <w:rFonts w:ascii="Times New Roman"/>
          <w:b w:val="false"/>
          <w:i w:val="false"/>
          <w:color w:val="000000"/>
          <w:sz w:val="28"/>
        </w:rPr>
        <w:t>приказу</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w:t>
      </w:r>
    </w:p>
    <w:bookmarkEnd w:id="41"/>
    <w:bookmarkStart w:name="z57" w:id="42"/>
    <w:p>
      <w:pPr>
        <w:spacing w:after="0"/>
        <w:ind w:left="0"/>
        <w:jc w:val="both"/>
      </w:pPr>
      <w:r>
        <w:rPr>
          <w:rFonts w:ascii="Times New Roman"/>
          <w:b w:val="false"/>
          <w:i w:val="false"/>
          <w:color w:val="000000"/>
          <w:sz w:val="28"/>
        </w:rPr>
        <w:t>
      Площадь помещений, используемых для хранения биоматериалов в биобанках, может быть разделена на зоны, предназначенные для выполнения следующих функций:</w:t>
      </w:r>
    </w:p>
    <w:bookmarkEnd w:id="42"/>
    <w:bookmarkStart w:name="z58" w:id="43"/>
    <w:p>
      <w:pPr>
        <w:spacing w:after="0"/>
        <w:ind w:left="0"/>
        <w:jc w:val="both"/>
      </w:pPr>
      <w:r>
        <w:rPr>
          <w:rFonts w:ascii="Times New Roman"/>
          <w:b w:val="false"/>
          <w:i w:val="false"/>
          <w:color w:val="000000"/>
          <w:sz w:val="28"/>
        </w:rPr>
        <w:t>
      1) приемки биологических материалов;</w:t>
      </w:r>
    </w:p>
    <w:bookmarkEnd w:id="43"/>
    <w:bookmarkStart w:name="z59" w:id="44"/>
    <w:p>
      <w:pPr>
        <w:spacing w:after="0"/>
        <w:ind w:left="0"/>
        <w:jc w:val="both"/>
      </w:pPr>
      <w:r>
        <w:rPr>
          <w:rFonts w:ascii="Times New Roman"/>
          <w:b w:val="false"/>
          <w:i w:val="false"/>
          <w:color w:val="000000"/>
          <w:sz w:val="28"/>
        </w:rPr>
        <w:t>
      2) основного хранения биологических материалов;</w:t>
      </w:r>
    </w:p>
    <w:bookmarkEnd w:id="44"/>
    <w:bookmarkStart w:name="z60" w:id="45"/>
    <w:p>
      <w:pPr>
        <w:spacing w:after="0"/>
        <w:ind w:left="0"/>
        <w:jc w:val="both"/>
      </w:pPr>
      <w:r>
        <w:rPr>
          <w:rFonts w:ascii="Times New Roman"/>
          <w:b w:val="false"/>
          <w:i w:val="false"/>
          <w:color w:val="000000"/>
          <w:sz w:val="28"/>
        </w:rPr>
        <w:t>
      3) экспедиции;</w:t>
      </w:r>
    </w:p>
    <w:bookmarkEnd w:id="45"/>
    <w:bookmarkStart w:name="z61" w:id="46"/>
    <w:p>
      <w:pPr>
        <w:spacing w:after="0"/>
        <w:ind w:left="0"/>
        <w:jc w:val="both"/>
      </w:pPr>
      <w:r>
        <w:rPr>
          <w:rFonts w:ascii="Times New Roman"/>
          <w:b w:val="false"/>
          <w:i w:val="false"/>
          <w:color w:val="000000"/>
          <w:sz w:val="28"/>
        </w:rPr>
        <w:t>
      4) хранения биологических материалов, требующих специальных условий (например, в условиях криохранилища);</w:t>
      </w:r>
    </w:p>
    <w:bookmarkEnd w:id="46"/>
    <w:bookmarkStart w:name="z62" w:id="47"/>
    <w:p>
      <w:pPr>
        <w:spacing w:after="0"/>
        <w:ind w:left="0"/>
        <w:jc w:val="both"/>
      </w:pPr>
      <w:r>
        <w:rPr>
          <w:rFonts w:ascii="Times New Roman"/>
          <w:b w:val="false"/>
          <w:i w:val="false"/>
          <w:color w:val="000000"/>
          <w:sz w:val="28"/>
        </w:rPr>
        <w:t>
      5) хранения выявленных фальсифицированных, недоброкачественных, контрафактных биологических материалов;</w:t>
      </w:r>
    </w:p>
    <w:bookmarkEnd w:id="47"/>
    <w:bookmarkStart w:name="z63" w:id="48"/>
    <w:p>
      <w:pPr>
        <w:spacing w:after="0"/>
        <w:ind w:left="0"/>
        <w:jc w:val="both"/>
      </w:pPr>
      <w:r>
        <w:rPr>
          <w:rFonts w:ascii="Times New Roman"/>
          <w:b w:val="false"/>
          <w:i w:val="false"/>
          <w:color w:val="000000"/>
          <w:sz w:val="28"/>
        </w:rPr>
        <w:t>
      6) карантинного хранения биологических материалов.</w:t>
      </w:r>
    </w:p>
    <w:bookmarkEnd w:id="48"/>
    <w:bookmarkStart w:name="z64" w:id="49"/>
    <w:p>
      <w:pPr>
        <w:spacing w:after="0"/>
        <w:ind w:left="0"/>
        <w:jc w:val="both"/>
      </w:pPr>
      <w:r>
        <w:rPr>
          <w:rFonts w:ascii="Times New Roman"/>
          <w:b w:val="false"/>
          <w:i w:val="false"/>
          <w:color w:val="000000"/>
          <w:sz w:val="28"/>
        </w:rPr>
        <w:t>
      29. В помещения (зоны) для хранения биологических материалов не допускаются лица, не имеющие права доступа, определенного стандартными операционными процедурами.</w:t>
      </w:r>
    </w:p>
    <w:bookmarkEnd w:id="49"/>
    <w:bookmarkStart w:name="z65" w:id="50"/>
    <w:p>
      <w:pPr>
        <w:spacing w:after="0"/>
        <w:ind w:left="0"/>
        <w:jc w:val="both"/>
      </w:pPr>
      <w:r>
        <w:rPr>
          <w:rFonts w:ascii="Times New Roman"/>
          <w:b w:val="false"/>
          <w:i w:val="false"/>
          <w:color w:val="000000"/>
          <w:sz w:val="28"/>
        </w:rPr>
        <w:t>
      30. Стеллажи (шкафы) для хранения биологических материалов должны быть маркированы, иметь стеллажные карты, находящиеся в видимой зоне, обеспечивать идентификацию биологических объектов и биологических материалов в соответствии с применяемой субъектом обращения биологических материалов системой учета.</w:t>
      </w:r>
    </w:p>
    <w:bookmarkEnd w:id="50"/>
    <w:bookmarkStart w:name="z66" w:id="51"/>
    <w:p>
      <w:pPr>
        <w:spacing w:after="0"/>
        <w:ind w:left="0"/>
        <w:jc w:val="both"/>
      </w:pPr>
      <w:r>
        <w:rPr>
          <w:rFonts w:ascii="Times New Roman"/>
          <w:b w:val="false"/>
          <w:i w:val="false"/>
          <w:color w:val="000000"/>
          <w:sz w:val="28"/>
        </w:rPr>
        <w:t>
      Допускается применение электронной системы обработки данных вместо стеллажных карт, которая должна быть валидирована. При использовании электронной системы обработки данных допускается идентификация при помощи кодов.</w:t>
      </w:r>
    </w:p>
    <w:bookmarkEnd w:id="51"/>
    <w:bookmarkStart w:name="z67" w:id="52"/>
    <w:p>
      <w:pPr>
        <w:spacing w:after="0"/>
        <w:ind w:left="0"/>
        <w:jc w:val="both"/>
      </w:pPr>
      <w:r>
        <w:rPr>
          <w:rFonts w:ascii="Times New Roman"/>
          <w:b w:val="false"/>
          <w:i w:val="false"/>
          <w:color w:val="000000"/>
          <w:sz w:val="28"/>
        </w:rPr>
        <w:t>
      31. Документы по хранению биологических материалов в биобанках, описывающие действия, включают в том числе стандартные операционные процедуры, инструкции, договоры, отчеты.".</w:t>
      </w:r>
    </w:p>
    <w:bookmarkEnd w:id="52"/>
    <w:bookmarkStart w:name="z68" w:id="53"/>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31 декабря 2020 года № ҚР ДСМ-310/2020 "Об утверждении правил проведения биомедицинских исследований и требований к исследовательским центрам" (зарегистрирован в Реестре государственной регистрации нормативных правовых актов под № 21851) следующие изменения и дополнения:</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0" w:id="5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227 Кодекса Республики Казахстан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54"/>
    <w:bookmarkStart w:name="z71" w:id="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биомедицинских исследований и требования к исследовательским центрам, утвержденных указанным приказом:</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w:t>
      </w:r>
    </w:p>
    <w:bookmarkStart w:name="z73" w:id="56"/>
    <w:p>
      <w:pPr>
        <w:spacing w:after="0"/>
        <w:ind w:left="0"/>
        <w:jc w:val="both"/>
      </w:pPr>
      <w:r>
        <w:rPr>
          <w:rFonts w:ascii="Times New Roman"/>
          <w:b w:val="false"/>
          <w:i w:val="false"/>
          <w:color w:val="000000"/>
          <w:sz w:val="28"/>
        </w:rPr>
        <w:t>
      дополнить подпунктом 3-1) следующего содержания:</w:t>
      </w:r>
    </w:p>
    <w:bookmarkEnd w:id="56"/>
    <w:bookmarkStart w:name="z74" w:id="57"/>
    <w:p>
      <w:pPr>
        <w:spacing w:after="0"/>
        <w:ind w:left="0"/>
        <w:jc w:val="both"/>
      </w:pPr>
      <w:r>
        <w:rPr>
          <w:rFonts w:ascii="Times New Roman"/>
          <w:b w:val="false"/>
          <w:i w:val="false"/>
          <w:color w:val="000000"/>
          <w:sz w:val="28"/>
        </w:rPr>
        <w:t>
      "3-1) комиссия по биоэтике – независимый экспертный орган, проводящим биоэтическую экспертизу документов, связанных с проведением биомедицинских исследований, на этапе их планирования, в ходе выполнения и после завершения с целью обеспечения безопасности и защиты прав участников биомедицинских исследований;";</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77" w:id="58"/>
    <w:p>
      <w:pPr>
        <w:spacing w:after="0"/>
        <w:ind w:left="0"/>
        <w:jc w:val="both"/>
      </w:pPr>
      <w:r>
        <w:rPr>
          <w:rFonts w:ascii="Times New Roman"/>
          <w:b w:val="false"/>
          <w:i w:val="false"/>
          <w:color w:val="000000"/>
          <w:sz w:val="28"/>
        </w:rPr>
        <w:t>
      "5. Биомедицинские исследования проводятся при наличии следующих требований:</w:t>
      </w:r>
    </w:p>
    <w:bookmarkEnd w:id="58"/>
    <w:bookmarkStart w:name="z78" w:id="59"/>
    <w:p>
      <w:pPr>
        <w:spacing w:after="0"/>
        <w:ind w:left="0"/>
        <w:jc w:val="both"/>
      </w:pPr>
      <w:r>
        <w:rPr>
          <w:rFonts w:ascii="Times New Roman"/>
          <w:b w:val="false"/>
          <w:i w:val="false"/>
          <w:color w:val="000000"/>
          <w:sz w:val="28"/>
        </w:rPr>
        <w:t>
      1) положительного заключения Центральной или локальной комиссии по биоэтике, проводящую биоэтическую экспертизу.</w:t>
      </w:r>
    </w:p>
    <w:bookmarkEnd w:id="59"/>
    <w:bookmarkStart w:name="z79" w:id="60"/>
    <w:p>
      <w:pPr>
        <w:spacing w:after="0"/>
        <w:ind w:left="0"/>
        <w:jc w:val="both"/>
      </w:pPr>
      <w:r>
        <w:rPr>
          <w:rFonts w:ascii="Times New Roman"/>
          <w:b w:val="false"/>
          <w:i w:val="false"/>
          <w:color w:val="000000"/>
          <w:sz w:val="28"/>
        </w:rPr>
        <w:t xml:space="preserve">
      Центральная комиссия по биоэтике проводит биоэтическую экспертизу биомедицинских исследований, проводимых в двух и более организациях здравоохранения (исследовательских центрах), расположенных на территории Республики Казахстан, а также международных исследований. </w:t>
      </w:r>
    </w:p>
    <w:bookmarkEnd w:id="60"/>
    <w:bookmarkStart w:name="z80" w:id="61"/>
    <w:p>
      <w:pPr>
        <w:spacing w:after="0"/>
        <w:ind w:left="0"/>
        <w:jc w:val="both"/>
      </w:pPr>
      <w:r>
        <w:rPr>
          <w:rFonts w:ascii="Times New Roman"/>
          <w:b w:val="false"/>
          <w:i w:val="false"/>
          <w:color w:val="000000"/>
          <w:sz w:val="28"/>
        </w:rPr>
        <w:t>
      Локальные комиссии по биоэтике имеют право на выдачу заключений на проведение биомедицинских исследований при условии наличия сертификата соответствия стандартам деятельности биоэтических комиссий, выдаваемого Центральной комиссией по биоэтике.</w:t>
      </w:r>
    </w:p>
    <w:bookmarkEnd w:id="61"/>
    <w:bookmarkStart w:name="z81" w:id="62"/>
    <w:p>
      <w:pPr>
        <w:spacing w:after="0"/>
        <w:ind w:left="0"/>
        <w:jc w:val="both"/>
      </w:pPr>
      <w:r>
        <w:rPr>
          <w:rFonts w:ascii="Times New Roman"/>
          <w:b w:val="false"/>
          <w:i w:val="false"/>
          <w:color w:val="000000"/>
          <w:sz w:val="28"/>
        </w:rPr>
        <w:t>
      2) положительного заключения консультативно-совещательного органа, уполномоченного рассматривать вопросы научной и (или) научно-технической деятельности (ученый, научный, научно-клинический, экспертный совет) в исследовательском центре (далее – Совет);</w:t>
      </w:r>
    </w:p>
    <w:bookmarkEnd w:id="62"/>
    <w:bookmarkStart w:name="z82" w:id="63"/>
    <w:p>
      <w:pPr>
        <w:spacing w:after="0"/>
        <w:ind w:left="0"/>
        <w:jc w:val="both"/>
      </w:pPr>
      <w:r>
        <w:rPr>
          <w:rFonts w:ascii="Times New Roman"/>
          <w:b w:val="false"/>
          <w:i w:val="false"/>
          <w:color w:val="000000"/>
          <w:sz w:val="28"/>
        </w:rPr>
        <w:t>
      3) регистрация биомедицинского исследования в Национальном регистре биомедицинских исследований в течение 5 (пяти) рабочих дней.";</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85" w:id="64"/>
    <w:p>
      <w:pPr>
        <w:spacing w:after="0"/>
        <w:ind w:left="0"/>
        <w:jc w:val="both"/>
      </w:pPr>
      <w:r>
        <w:rPr>
          <w:rFonts w:ascii="Times New Roman"/>
          <w:b w:val="false"/>
          <w:i w:val="false"/>
          <w:color w:val="000000"/>
          <w:sz w:val="28"/>
        </w:rPr>
        <w:t>
      "7. Спонсор исследования (далее – спонсор) или руководитель исследования:</w:t>
      </w:r>
    </w:p>
    <w:bookmarkEnd w:id="64"/>
    <w:bookmarkStart w:name="z86" w:id="65"/>
    <w:p>
      <w:pPr>
        <w:spacing w:after="0"/>
        <w:ind w:left="0"/>
        <w:jc w:val="both"/>
      </w:pPr>
      <w:r>
        <w:rPr>
          <w:rFonts w:ascii="Times New Roman"/>
          <w:b w:val="false"/>
          <w:i w:val="false"/>
          <w:color w:val="000000"/>
          <w:sz w:val="28"/>
        </w:rPr>
        <w:t xml:space="preserve">
      1) получают заключение биоэтической экспертизы от Центральной или локальной комиссии по биоэтике в порядке, установленном требованиями Стандартов деятельности биоэтических комиссий, утверждаемых Центральной комиссией по биоэтике согласно </w:t>
      </w:r>
      <w:r>
        <w:rPr>
          <w:rFonts w:ascii="Times New Roman"/>
          <w:b w:val="false"/>
          <w:i w:val="false"/>
          <w:color w:val="000000"/>
          <w:sz w:val="28"/>
        </w:rPr>
        <w:t>подпункту 4)</w:t>
      </w:r>
      <w:r>
        <w:rPr>
          <w:rFonts w:ascii="Times New Roman"/>
          <w:b w:val="false"/>
          <w:i w:val="false"/>
          <w:color w:val="000000"/>
          <w:sz w:val="28"/>
        </w:rPr>
        <w:t xml:space="preserve"> пункта 3 статьи 228 Кодекса Республики Казахстан "О здоровье народа и системе здравоохранения" (далее – Стандарты);</w:t>
      </w:r>
    </w:p>
    <w:bookmarkEnd w:id="65"/>
    <w:bookmarkStart w:name="z87" w:id="66"/>
    <w:p>
      <w:pPr>
        <w:spacing w:after="0"/>
        <w:ind w:left="0"/>
        <w:jc w:val="both"/>
      </w:pPr>
      <w:r>
        <w:rPr>
          <w:rFonts w:ascii="Times New Roman"/>
          <w:b w:val="false"/>
          <w:i w:val="false"/>
          <w:color w:val="000000"/>
          <w:sz w:val="28"/>
        </w:rPr>
        <w:t>
      2) получают заключение Совета исследовательского центра в порядке, установленном в Положении о Совете исследовательского центра и внутренних нормативных документах исследовательского центра, утверждаемых первым руководителем исследовательского центра;</w:t>
      </w:r>
    </w:p>
    <w:bookmarkEnd w:id="66"/>
    <w:bookmarkStart w:name="z88" w:id="67"/>
    <w:p>
      <w:pPr>
        <w:spacing w:after="0"/>
        <w:ind w:left="0"/>
        <w:jc w:val="both"/>
      </w:pPr>
      <w:r>
        <w:rPr>
          <w:rFonts w:ascii="Times New Roman"/>
          <w:b w:val="false"/>
          <w:i w:val="false"/>
          <w:color w:val="000000"/>
          <w:sz w:val="28"/>
        </w:rPr>
        <w:t>
      3) обеспечивает внесение актуальных данных по биомедицинским исследованиям в Национальную информационную систему по биомедицинским исследованиям;</w:t>
      </w:r>
    </w:p>
    <w:bookmarkEnd w:id="67"/>
    <w:bookmarkStart w:name="z89" w:id="68"/>
    <w:p>
      <w:pPr>
        <w:spacing w:after="0"/>
        <w:ind w:left="0"/>
        <w:jc w:val="both"/>
      </w:pPr>
      <w:r>
        <w:rPr>
          <w:rFonts w:ascii="Times New Roman"/>
          <w:b w:val="false"/>
          <w:i w:val="false"/>
          <w:color w:val="000000"/>
          <w:sz w:val="28"/>
        </w:rPr>
        <w:t>
      4) обеспечивает соблюдение условий для проведения биомедицинских исследований в соответствии с установленными требованиями, документами исследованиями.</w:t>
      </w:r>
    </w:p>
    <w:bookmarkEnd w:id="68"/>
    <w:bookmarkStart w:name="z90" w:id="69"/>
    <w:p>
      <w:pPr>
        <w:spacing w:after="0"/>
        <w:ind w:left="0"/>
        <w:jc w:val="both"/>
      </w:pPr>
      <w:r>
        <w:rPr>
          <w:rFonts w:ascii="Times New Roman"/>
          <w:b w:val="false"/>
          <w:i w:val="false"/>
          <w:color w:val="000000"/>
          <w:sz w:val="28"/>
        </w:rPr>
        <w:t>
      8. Биомедицинское исследование проводятся под руководством спонсора или руководителя исследования по одобренному Центральной или локальной комиссией и Советом исследовательского центра плану проведения исследования с составлением протокола исследования и подготовкой отчета, в котором содержатся результаты исследований. Контроль за исполнением плана возлагается на руководителя исследования или назначенного спонсоров ответственного исполнителя.</w:t>
      </w:r>
    </w:p>
    <w:bookmarkEnd w:id="69"/>
    <w:bookmarkStart w:name="z91" w:id="70"/>
    <w:p>
      <w:pPr>
        <w:spacing w:after="0"/>
        <w:ind w:left="0"/>
        <w:jc w:val="both"/>
      </w:pPr>
      <w:r>
        <w:rPr>
          <w:rFonts w:ascii="Times New Roman"/>
          <w:b w:val="false"/>
          <w:i w:val="false"/>
          <w:color w:val="000000"/>
          <w:sz w:val="28"/>
        </w:rPr>
        <w:t>
      9. Проведение биомедицинского исследования осуществляется на базе исследовательского центра, соответствующего требованиям пункта 19 настоящего приказа.";</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дополнить подпунктом 2) следующего содержания:</w:t>
      </w:r>
    </w:p>
    <w:bookmarkStart w:name="z93" w:id="71"/>
    <w:p>
      <w:pPr>
        <w:spacing w:after="0"/>
        <w:ind w:left="0"/>
        <w:jc w:val="both"/>
      </w:pPr>
      <w:r>
        <w:rPr>
          <w:rFonts w:ascii="Times New Roman"/>
          <w:b w:val="false"/>
          <w:i w:val="false"/>
          <w:color w:val="000000"/>
          <w:sz w:val="28"/>
        </w:rPr>
        <w:t>
      "2) вносят информацию о начале и актуализируют данные и результаты биомедицинских исследований в Национальный регистр биомедицинских исследований в течение 10 (десяти) рабочих дней;";</w:t>
      </w:r>
    </w:p>
    <w:bookmarkEnd w:id="71"/>
    <w:bookmarkStart w:name="z94" w:id="7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12</w:t>
      </w:r>
      <w:r>
        <w:rPr>
          <w:rFonts w:ascii="Times New Roman"/>
          <w:b w:val="false"/>
          <w:i w:val="false"/>
          <w:color w:val="000000"/>
          <w:sz w:val="28"/>
        </w:rPr>
        <w:t xml:space="preserve"> исключить;</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96" w:id="73"/>
    <w:p>
      <w:pPr>
        <w:spacing w:after="0"/>
        <w:ind w:left="0"/>
        <w:jc w:val="both"/>
      </w:pPr>
      <w:r>
        <w:rPr>
          <w:rFonts w:ascii="Times New Roman"/>
          <w:b w:val="false"/>
          <w:i w:val="false"/>
          <w:color w:val="000000"/>
          <w:sz w:val="28"/>
        </w:rPr>
        <w:t>
      "13. Мониторинг осуществляется на всех этапах проведения биомедицинских исследований в соответствии с требованиями законодательства и настоящих Правил. Ответственный за проведение мониторинга определяется уполномоченным органом в области здравоохранения.";</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98" w:id="74"/>
    <w:p>
      <w:pPr>
        <w:spacing w:after="0"/>
        <w:ind w:left="0"/>
        <w:jc w:val="both"/>
      </w:pPr>
      <w:r>
        <w:rPr>
          <w:rFonts w:ascii="Times New Roman"/>
          <w:b w:val="false"/>
          <w:i w:val="false"/>
          <w:color w:val="000000"/>
          <w:sz w:val="28"/>
        </w:rPr>
        <w:t>
      "16. Хранение документов, оформляемые при проведении биомедицинского исследования в соответствии с настоящими Правилами, обеспечивается руководителем исследования, и подлежат хранению в электронном виде не менее трех лет.";</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bookmarkStart w:name="z101" w:id="75"/>
    <w:p>
      <w:pPr>
        <w:spacing w:after="0"/>
        <w:ind w:left="0"/>
        <w:jc w:val="both"/>
      </w:pPr>
      <w:r>
        <w:rPr>
          <w:rFonts w:ascii="Times New Roman"/>
          <w:b w:val="false"/>
          <w:i w:val="false"/>
          <w:color w:val="000000"/>
          <w:sz w:val="28"/>
        </w:rPr>
        <w:t>
      "18. Все биомедицинские исследования, проводимые на территории Республики Казахстан, порядок проведения которых определяется настоящими Правилами, а также клинические исследования лекарственных средств и медицинских изделий, клинико-лабораторные испытания медицинских изделий для диагностики вне живого организма (in vitro), доклинические (неклинические) исследования лекарственных средств, исследования (испытания) оценки биологического действия медицинских изделий, подлежат регистрации.</w:t>
      </w:r>
    </w:p>
    <w:bookmarkEnd w:id="75"/>
    <w:bookmarkStart w:name="z102" w:id="76"/>
    <w:p>
      <w:pPr>
        <w:spacing w:after="0"/>
        <w:ind w:left="0"/>
        <w:jc w:val="both"/>
      </w:pPr>
      <w:r>
        <w:rPr>
          <w:rFonts w:ascii="Times New Roman"/>
          <w:b w:val="false"/>
          <w:i w:val="false"/>
          <w:color w:val="000000"/>
          <w:sz w:val="28"/>
        </w:rPr>
        <w:t>
      Регистрация проводится рабочим органом, определенный уполномоченным органом, для учета, мониторинга исполнения биомедицинских исследований и координации процессов исследования между заинтересованными сторонами на основе информации по исполняемому исследованию. Регистрации подлежат все биомедицинские исследования вне зависимости от источника финансирования.</w:t>
      </w:r>
    </w:p>
    <w:bookmarkEnd w:id="76"/>
    <w:bookmarkStart w:name="z103" w:id="77"/>
    <w:p>
      <w:pPr>
        <w:spacing w:after="0"/>
        <w:ind w:left="0"/>
        <w:jc w:val="both"/>
      </w:pPr>
      <w:r>
        <w:rPr>
          <w:rFonts w:ascii="Times New Roman"/>
          <w:b w:val="false"/>
          <w:i w:val="false"/>
          <w:color w:val="000000"/>
          <w:sz w:val="28"/>
        </w:rPr>
        <w:t>
      19. Требованием к исследовательским центрам, на базе которых проводятся биомедицинские исследования, является наличие:</w:t>
      </w:r>
    </w:p>
    <w:bookmarkEnd w:id="77"/>
    <w:bookmarkStart w:name="z104" w:id="78"/>
    <w:p>
      <w:pPr>
        <w:spacing w:after="0"/>
        <w:ind w:left="0"/>
        <w:jc w:val="both"/>
      </w:pPr>
      <w:r>
        <w:rPr>
          <w:rFonts w:ascii="Times New Roman"/>
          <w:b w:val="false"/>
          <w:i w:val="false"/>
          <w:color w:val="000000"/>
          <w:sz w:val="28"/>
        </w:rPr>
        <w:t>
      1) наличие аккредитации в качестве субъекта научной и (или) научно-технической деятельности, подтвержденной соответствующим документом;</w:t>
      </w:r>
    </w:p>
    <w:bookmarkEnd w:id="78"/>
    <w:bookmarkStart w:name="z105" w:id="79"/>
    <w:p>
      <w:pPr>
        <w:spacing w:after="0"/>
        <w:ind w:left="0"/>
        <w:jc w:val="both"/>
      </w:pPr>
      <w:r>
        <w:rPr>
          <w:rFonts w:ascii="Times New Roman"/>
          <w:b w:val="false"/>
          <w:i w:val="false"/>
          <w:color w:val="000000"/>
          <w:sz w:val="28"/>
        </w:rPr>
        <w:t>
      2) наличие квалифицированных специалистов в соответствующей области исследования, имеющих профильное высшее образование, стаж работы по специальности не менее трех лет, а также подтвержденную квалификацию;</w:t>
      </w:r>
    </w:p>
    <w:bookmarkEnd w:id="79"/>
    <w:bookmarkStart w:name="z106" w:id="80"/>
    <w:p>
      <w:pPr>
        <w:spacing w:after="0"/>
        <w:ind w:left="0"/>
        <w:jc w:val="both"/>
      </w:pPr>
      <w:r>
        <w:rPr>
          <w:rFonts w:ascii="Times New Roman"/>
          <w:b w:val="false"/>
          <w:i w:val="false"/>
          <w:color w:val="000000"/>
          <w:sz w:val="28"/>
        </w:rPr>
        <w:t>
      3) наличие стандартных операционных процедур (СОП), утвержденных руководителем исследовательского центра, регламентирующих проведение биомедицинских исследований, включая процедуры по обеспечению качества, безопасности, ведению документации, мониторингу и отчетности.";</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исключить. </w:t>
      </w:r>
    </w:p>
    <w:bookmarkStart w:name="z108" w:id="81"/>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4 февраля 2021 года № ҚР ДСМ-15 "Об утверждении надлежащих фармацевтических практик" (зарегистрирован в Реестре государственной регистрации нормативных правовых актов под № 22167) следующие изменения и дополнения:</w:t>
      </w:r>
    </w:p>
    <w:bookmarkEnd w:id="81"/>
    <w:bookmarkStart w:name="z109" w:id="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надлежащей клинической практики (GCP), утвержденном указанным приказом:</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w:t>
      </w:r>
    </w:p>
    <w:bookmarkStart w:name="z111" w:id="83"/>
    <w:p>
      <w:pPr>
        <w:spacing w:after="0"/>
        <w:ind w:left="0"/>
        <w:jc w:val="both"/>
      </w:pPr>
      <w:r>
        <w:rPr>
          <w:rFonts w:ascii="Times New Roman"/>
          <w:b w:val="false"/>
          <w:i w:val="false"/>
          <w:color w:val="000000"/>
          <w:sz w:val="28"/>
        </w:rPr>
        <w:t>
      дополнить подпунктом 33-1) следующего содержания:</w:t>
      </w:r>
    </w:p>
    <w:bookmarkEnd w:id="83"/>
    <w:bookmarkStart w:name="z112" w:id="84"/>
    <w:p>
      <w:pPr>
        <w:spacing w:after="0"/>
        <w:ind w:left="0"/>
        <w:jc w:val="both"/>
      </w:pPr>
      <w:r>
        <w:rPr>
          <w:rFonts w:ascii="Times New Roman"/>
          <w:b w:val="false"/>
          <w:i w:val="false"/>
          <w:color w:val="000000"/>
          <w:sz w:val="28"/>
        </w:rPr>
        <w:t>
      "33-1) заверенная копия – это копия оригинальной записи (вне зависимости от типа носителя), которая, как было подтверждено (например, датированной подписью или валидированным процессом создания копии), содержит ту же информацию, включая данные, которые описывают контекст, содержание и структуру, что и оригинальная запись;";</w:t>
      </w:r>
    </w:p>
    <w:bookmarkEnd w:id="84"/>
    <w:bookmarkStart w:name="z113" w:id="85"/>
    <w:p>
      <w:pPr>
        <w:spacing w:after="0"/>
        <w:ind w:left="0"/>
        <w:jc w:val="both"/>
      </w:pPr>
      <w:r>
        <w:rPr>
          <w:rFonts w:ascii="Times New Roman"/>
          <w:b w:val="false"/>
          <w:i w:val="false"/>
          <w:color w:val="000000"/>
          <w:sz w:val="28"/>
        </w:rPr>
        <w:t>
      дополнить подпунктом 42-1) следующего содержания:</w:t>
      </w:r>
    </w:p>
    <w:bookmarkEnd w:id="85"/>
    <w:bookmarkStart w:name="z114" w:id="86"/>
    <w:p>
      <w:pPr>
        <w:spacing w:after="0"/>
        <w:ind w:left="0"/>
        <w:jc w:val="both"/>
      </w:pPr>
      <w:r>
        <w:rPr>
          <w:rFonts w:ascii="Times New Roman"/>
          <w:b w:val="false"/>
          <w:i w:val="false"/>
          <w:color w:val="000000"/>
          <w:sz w:val="28"/>
        </w:rPr>
        <w:t xml:space="preserve">
      "42-1) план мониторинга – это документ, который описывает стратегию, методы, распределение обязанностей и требования к мониторингу клинического исследования;"; </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16" w:id="87"/>
    <w:p>
      <w:pPr>
        <w:spacing w:after="0"/>
        <w:ind w:left="0"/>
        <w:jc w:val="both"/>
      </w:pPr>
      <w:r>
        <w:rPr>
          <w:rFonts w:ascii="Times New Roman"/>
          <w:b w:val="false"/>
          <w:i w:val="false"/>
          <w:color w:val="000000"/>
          <w:sz w:val="28"/>
        </w:rPr>
        <w:t>
      "12. Полученную в клиническом исследовании информацию регистрируют, передают и хранят с обеспечением точности и правильности ее представления, интерпретации и верификации. Этот принцип применим ко всем записям, упоминаемым в данном руководстве, вне зависимости от типа носителя.";</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118" w:id="88"/>
    <w:p>
      <w:pPr>
        <w:spacing w:after="0"/>
        <w:ind w:left="0"/>
        <w:jc w:val="both"/>
      </w:pPr>
      <w:r>
        <w:rPr>
          <w:rFonts w:ascii="Times New Roman"/>
          <w:b w:val="false"/>
          <w:i w:val="false"/>
          <w:color w:val="000000"/>
          <w:sz w:val="28"/>
        </w:rPr>
        <w:t>
      "15. Для обеспечения качества каждого аспекта исследования внедряются соответствующие системы и операционные процедуры. Такие системы должны фокусироваться на тех аспектах клинического исследования, которые обеспечивают безопасность субъектов исследования и достоверность его результатов.";</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120" w:id="89"/>
    <w:p>
      <w:pPr>
        <w:spacing w:after="0"/>
        <w:ind w:left="0"/>
        <w:jc w:val="both"/>
      </w:pPr>
      <w:r>
        <w:rPr>
          <w:rFonts w:ascii="Times New Roman"/>
          <w:b w:val="false"/>
          <w:i w:val="false"/>
          <w:color w:val="000000"/>
          <w:sz w:val="28"/>
        </w:rPr>
        <w:t xml:space="preserve">
      "34. Комиссия по биоэтике хранит относящуюся к исследованию документацию не менее 3 лет после завершения исследования и предоставляет ее по требованию уполномоченного органа. </w:t>
      </w:r>
    </w:p>
    <w:bookmarkEnd w:id="89"/>
    <w:bookmarkStart w:name="z121" w:id="90"/>
    <w:p>
      <w:pPr>
        <w:spacing w:after="0"/>
        <w:ind w:left="0"/>
        <w:jc w:val="both"/>
      </w:pPr>
      <w:r>
        <w:rPr>
          <w:rFonts w:ascii="Times New Roman"/>
          <w:b w:val="false"/>
          <w:i w:val="false"/>
          <w:color w:val="000000"/>
          <w:sz w:val="28"/>
        </w:rPr>
        <w:t>
      Исследователи, спонсор, уполномоченные органы могут запрашивать у Комиссии по биоэтике его процедуры и списки членов.";</w:t>
      </w:r>
    </w:p>
    <w:bookmarkEnd w:id="90"/>
    <w:bookmarkStart w:name="z122" w:id="91"/>
    <w:p>
      <w:pPr>
        <w:spacing w:after="0"/>
        <w:ind w:left="0"/>
        <w:jc w:val="both"/>
      </w:pPr>
      <w:r>
        <w:rPr>
          <w:rFonts w:ascii="Times New Roman"/>
          <w:b w:val="false"/>
          <w:i w:val="false"/>
          <w:color w:val="000000"/>
          <w:sz w:val="28"/>
        </w:rPr>
        <w:t>
      дополнить пунктами 43-1 и 43-2 следующего содержания:</w:t>
      </w:r>
    </w:p>
    <w:bookmarkEnd w:id="91"/>
    <w:bookmarkStart w:name="z123" w:id="92"/>
    <w:p>
      <w:pPr>
        <w:spacing w:after="0"/>
        <w:ind w:left="0"/>
        <w:jc w:val="both"/>
      </w:pPr>
      <w:r>
        <w:rPr>
          <w:rFonts w:ascii="Times New Roman"/>
          <w:b w:val="false"/>
          <w:i w:val="false"/>
          <w:color w:val="000000"/>
          <w:sz w:val="28"/>
        </w:rPr>
        <w:t xml:space="preserve">
      "43-1. Исследователь контролирует деятельность сотрудников и иных лиц, которым он делегировал те или иные обязанности и функции в рамках проведения исследования в исследовательском центре. </w:t>
      </w:r>
    </w:p>
    <w:bookmarkEnd w:id="92"/>
    <w:bookmarkStart w:name="z124" w:id="93"/>
    <w:p>
      <w:pPr>
        <w:spacing w:after="0"/>
        <w:ind w:left="0"/>
        <w:jc w:val="both"/>
      </w:pPr>
      <w:r>
        <w:rPr>
          <w:rFonts w:ascii="Times New Roman"/>
          <w:b w:val="false"/>
          <w:i w:val="false"/>
          <w:color w:val="000000"/>
          <w:sz w:val="28"/>
        </w:rPr>
        <w:t>
      43-2. В случае привлечения исследователем (медицинской организацией) сторонних лиц для выполнения тех или иных связанных c проведением исследования обязанностей и функций исследователь (медицинская организация) должны убедиться, что данное лицо обладает достаточной квалификацией для выполнения этих обязанностей и функций, а также внедрить процедуры, направленные на обеспечение полноты выполнения связанных c проведением исследования обязанностей и функций и целостности полученных данных.";</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77</w:t>
      </w:r>
      <w:r>
        <w:rPr>
          <w:rFonts w:ascii="Times New Roman"/>
          <w:b w:val="false"/>
          <w:i w:val="false"/>
          <w:color w:val="000000"/>
          <w:sz w:val="28"/>
        </w:rPr>
        <w:t xml:space="preserve"> изложить в следующей редакции:</w:t>
      </w:r>
    </w:p>
    <w:bookmarkStart w:name="z126" w:id="94"/>
    <w:p>
      <w:pPr>
        <w:spacing w:after="0"/>
        <w:ind w:left="0"/>
        <w:jc w:val="both"/>
      </w:pPr>
      <w:r>
        <w:rPr>
          <w:rFonts w:ascii="Times New Roman"/>
          <w:b w:val="false"/>
          <w:i w:val="false"/>
          <w:color w:val="000000"/>
          <w:sz w:val="28"/>
        </w:rPr>
        <w:t>
      "77. Исследователь (медицинская организация) вносит адекватные и точные первичные документы и записи по исследованию, в которых отражаются все значимые для исследования данные по каждому субъекту исследования в исследовательском центре. Первичные данные должны быть разборчивыми, оригинальными, точными, полными, должны регистрироваться в процессе осуществления наблюдений и таким образом, чтобы их можно было отследить. Изменения в исходных документах должны быть прослеживаемы, объяснены, если необходимо, и не должны скрывать первоначальную запись (что достигается, например посредством документального следа).";</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80</w:t>
      </w:r>
      <w:r>
        <w:rPr>
          <w:rFonts w:ascii="Times New Roman"/>
          <w:b w:val="false"/>
          <w:i w:val="false"/>
          <w:color w:val="000000"/>
          <w:sz w:val="28"/>
        </w:rPr>
        <w:t xml:space="preserve"> изложить в следующей редакции:</w:t>
      </w:r>
    </w:p>
    <w:bookmarkStart w:name="z128" w:id="95"/>
    <w:p>
      <w:pPr>
        <w:spacing w:after="0"/>
        <w:ind w:left="0"/>
        <w:jc w:val="both"/>
      </w:pPr>
      <w:r>
        <w:rPr>
          <w:rFonts w:ascii="Times New Roman"/>
          <w:b w:val="false"/>
          <w:i w:val="false"/>
          <w:color w:val="000000"/>
          <w:sz w:val="28"/>
        </w:rPr>
        <w:t>
      "80. Исследователь или медицинская организация ведет документацию по исследованию согласно главе 8 настоящего Стандарта. Исследователь или медицинская организация принимает необходимые меры, предотвращающие случайное или преждевременное уничтожение данных документов.";</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5</w:t>
      </w:r>
      <w:r>
        <w:rPr>
          <w:rFonts w:ascii="Times New Roman"/>
          <w:b w:val="false"/>
          <w:i w:val="false"/>
          <w:color w:val="000000"/>
          <w:sz w:val="28"/>
        </w:rPr>
        <w:t xml:space="preserve"> дополнить параграфом 1-1 следующего содержания:</w:t>
      </w:r>
    </w:p>
    <w:bookmarkStart w:name="z130" w:id="96"/>
    <w:p>
      <w:pPr>
        <w:spacing w:after="0"/>
        <w:ind w:left="0"/>
        <w:jc w:val="both"/>
      </w:pPr>
      <w:r>
        <w:rPr>
          <w:rFonts w:ascii="Times New Roman"/>
          <w:b w:val="false"/>
          <w:i w:val="false"/>
          <w:color w:val="000000"/>
          <w:sz w:val="28"/>
        </w:rPr>
        <w:t>
      "Параграф 1-1. Управление качеством</w:t>
      </w:r>
    </w:p>
    <w:bookmarkEnd w:id="96"/>
    <w:bookmarkStart w:name="z131" w:id="97"/>
    <w:p>
      <w:pPr>
        <w:spacing w:after="0"/>
        <w:ind w:left="0"/>
        <w:jc w:val="both"/>
      </w:pPr>
      <w:r>
        <w:rPr>
          <w:rFonts w:ascii="Times New Roman"/>
          <w:b w:val="false"/>
          <w:i w:val="false"/>
          <w:color w:val="000000"/>
          <w:sz w:val="28"/>
        </w:rPr>
        <w:t xml:space="preserve">
      97-1. Спонсор обеспечивает функционирование системы управления качеством на всех этапах клинического исследования. </w:t>
      </w:r>
    </w:p>
    <w:bookmarkEnd w:id="97"/>
    <w:bookmarkStart w:name="z132" w:id="98"/>
    <w:p>
      <w:pPr>
        <w:spacing w:after="0"/>
        <w:ind w:left="0"/>
        <w:jc w:val="both"/>
      </w:pPr>
      <w:r>
        <w:rPr>
          <w:rFonts w:ascii="Times New Roman"/>
          <w:b w:val="false"/>
          <w:i w:val="false"/>
          <w:color w:val="000000"/>
          <w:sz w:val="28"/>
        </w:rPr>
        <w:t xml:space="preserve">
      Спонсор обеспечивают безопасность субъектов клинического исследования и достоверность его результатов. </w:t>
      </w:r>
    </w:p>
    <w:bookmarkEnd w:id="98"/>
    <w:bookmarkStart w:name="z133" w:id="99"/>
    <w:p>
      <w:pPr>
        <w:spacing w:after="0"/>
        <w:ind w:left="0"/>
        <w:jc w:val="both"/>
      </w:pPr>
      <w:r>
        <w:rPr>
          <w:rFonts w:ascii="Times New Roman"/>
          <w:b w:val="false"/>
          <w:i w:val="false"/>
          <w:color w:val="000000"/>
          <w:sz w:val="28"/>
        </w:rPr>
        <w:t xml:space="preserve">
      Управление качеством включает в себя разработку эффективных протоколов клинических исследований, а также инструментов и процедур по сбору и обработке данных и информации, существенной для принятия решений. </w:t>
      </w:r>
    </w:p>
    <w:bookmarkEnd w:id="99"/>
    <w:bookmarkStart w:name="z134" w:id="100"/>
    <w:p>
      <w:pPr>
        <w:spacing w:after="0"/>
        <w:ind w:left="0"/>
        <w:jc w:val="both"/>
      </w:pPr>
      <w:r>
        <w:rPr>
          <w:rFonts w:ascii="Times New Roman"/>
          <w:b w:val="false"/>
          <w:i w:val="false"/>
          <w:color w:val="000000"/>
          <w:sz w:val="28"/>
        </w:rPr>
        <w:t xml:space="preserve">
      Методы, применяемые для обеспечения и контроля качества клинического исследования, должны быть пропорциональны связанному с исследованием риску и важности собираемой информации. </w:t>
      </w:r>
    </w:p>
    <w:bookmarkEnd w:id="100"/>
    <w:bookmarkStart w:name="z135" w:id="101"/>
    <w:p>
      <w:pPr>
        <w:spacing w:after="0"/>
        <w:ind w:left="0"/>
        <w:jc w:val="both"/>
      </w:pPr>
      <w:r>
        <w:rPr>
          <w:rFonts w:ascii="Times New Roman"/>
          <w:b w:val="false"/>
          <w:i w:val="false"/>
          <w:color w:val="000000"/>
          <w:sz w:val="28"/>
        </w:rPr>
        <w:t xml:space="preserve">
      Спонсор следит за тем, чтобы все аспекты исследования были выполнимы с операционной точки зрения, и должен избегать чрезмерной сложности, излишних процедур и сбора избыточных данных. </w:t>
      </w:r>
    </w:p>
    <w:bookmarkEnd w:id="101"/>
    <w:bookmarkStart w:name="z136" w:id="102"/>
    <w:p>
      <w:pPr>
        <w:spacing w:after="0"/>
        <w:ind w:left="0"/>
        <w:jc w:val="both"/>
      </w:pPr>
      <w:r>
        <w:rPr>
          <w:rFonts w:ascii="Times New Roman"/>
          <w:b w:val="false"/>
          <w:i w:val="false"/>
          <w:color w:val="000000"/>
          <w:sz w:val="28"/>
        </w:rPr>
        <w:t xml:space="preserve">
      Протокол, индивидуальные регистрационные карты и другие операционные документы должны быть ясными, лаконичными и внутренне непротиворечивыми. </w:t>
      </w:r>
    </w:p>
    <w:bookmarkEnd w:id="102"/>
    <w:bookmarkStart w:name="z137" w:id="103"/>
    <w:p>
      <w:pPr>
        <w:spacing w:after="0"/>
        <w:ind w:left="0"/>
        <w:jc w:val="both"/>
      </w:pPr>
      <w:r>
        <w:rPr>
          <w:rFonts w:ascii="Times New Roman"/>
          <w:b w:val="false"/>
          <w:i w:val="false"/>
          <w:color w:val="000000"/>
          <w:sz w:val="28"/>
        </w:rPr>
        <w:t xml:space="preserve">
      Система управления качеством должна опираться на оценку рисков. </w:t>
      </w:r>
    </w:p>
    <w:bookmarkEnd w:id="103"/>
    <w:bookmarkStart w:name="z138" w:id="104"/>
    <w:p>
      <w:pPr>
        <w:spacing w:after="0"/>
        <w:ind w:left="0"/>
        <w:jc w:val="both"/>
      </w:pPr>
      <w:r>
        <w:rPr>
          <w:rFonts w:ascii="Times New Roman"/>
          <w:b w:val="false"/>
          <w:i w:val="false"/>
          <w:color w:val="000000"/>
          <w:sz w:val="28"/>
        </w:rPr>
        <w:t xml:space="preserve">
      97-2. Во время разработки протокола спонсор выявляет те процессы и данные, которые являются критичными с точки зрения безопасности субъектов исследования и достоверности его результатов. </w:t>
      </w:r>
    </w:p>
    <w:bookmarkEnd w:id="104"/>
    <w:bookmarkStart w:name="z139" w:id="105"/>
    <w:p>
      <w:pPr>
        <w:spacing w:after="0"/>
        <w:ind w:left="0"/>
        <w:jc w:val="both"/>
      </w:pPr>
      <w:r>
        <w:rPr>
          <w:rFonts w:ascii="Times New Roman"/>
          <w:b w:val="false"/>
          <w:i w:val="false"/>
          <w:color w:val="000000"/>
          <w:sz w:val="28"/>
        </w:rPr>
        <w:t xml:space="preserve">
      97-3. Спонсор выявляет риски для критичных процессов и данных клинического исследования. Риски рассматриваются на системном (например, стандартные операционные процедуры, компьютеризованные системы, персонал) и на уровне клинического исследования (например, дизайн исследования, сбор данных, процесс получения информированного согласия). </w:t>
      </w:r>
    </w:p>
    <w:bookmarkEnd w:id="105"/>
    <w:bookmarkStart w:name="z140" w:id="106"/>
    <w:p>
      <w:pPr>
        <w:spacing w:after="0"/>
        <w:ind w:left="0"/>
        <w:jc w:val="both"/>
      </w:pPr>
      <w:r>
        <w:rPr>
          <w:rFonts w:ascii="Times New Roman"/>
          <w:b w:val="false"/>
          <w:i w:val="false"/>
          <w:color w:val="000000"/>
          <w:sz w:val="28"/>
        </w:rPr>
        <w:t xml:space="preserve">
      97-4. Спонсор оценивает выявленные риски по отношению к инструментам их контроля, принимая во внимание: </w:t>
      </w:r>
    </w:p>
    <w:bookmarkEnd w:id="106"/>
    <w:bookmarkStart w:name="z141" w:id="107"/>
    <w:p>
      <w:pPr>
        <w:spacing w:after="0"/>
        <w:ind w:left="0"/>
        <w:jc w:val="both"/>
      </w:pPr>
      <w:r>
        <w:rPr>
          <w:rFonts w:ascii="Times New Roman"/>
          <w:b w:val="false"/>
          <w:i w:val="false"/>
          <w:color w:val="000000"/>
          <w:sz w:val="28"/>
        </w:rPr>
        <w:t xml:space="preserve">
      1) вероятность возникновения ошибки; </w:t>
      </w:r>
    </w:p>
    <w:bookmarkEnd w:id="107"/>
    <w:bookmarkStart w:name="z142" w:id="108"/>
    <w:p>
      <w:pPr>
        <w:spacing w:after="0"/>
        <w:ind w:left="0"/>
        <w:jc w:val="both"/>
      </w:pPr>
      <w:r>
        <w:rPr>
          <w:rFonts w:ascii="Times New Roman"/>
          <w:b w:val="false"/>
          <w:i w:val="false"/>
          <w:color w:val="000000"/>
          <w:sz w:val="28"/>
        </w:rPr>
        <w:t xml:space="preserve">
      2) в какой мере такие ошибки могут быть выявлены; </w:t>
      </w:r>
    </w:p>
    <w:bookmarkEnd w:id="108"/>
    <w:bookmarkStart w:name="z143" w:id="109"/>
    <w:p>
      <w:pPr>
        <w:spacing w:after="0"/>
        <w:ind w:left="0"/>
        <w:jc w:val="both"/>
      </w:pPr>
      <w:r>
        <w:rPr>
          <w:rFonts w:ascii="Times New Roman"/>
          <w:b w:val="false"/>
          <w:i w:val="false"/>
          <w:color w:val="000000"/>
          <w:sz w:val="28"/>
        </w:rPr>
        <w:t xml:space="preserve">
      3) влияние таких ошибок на безопасность субъектов исследования и достоверность его результатов. </w:t>
      </w:r>
    </w:p>
    <w:bookmarkEnd w:id="109"/>
    <w:bookmarkStart w:name="z144" w:id="110"/>
    <w:p>
      <w:pPr>
        <w:spacing w:after="0"/>
        <w:ind w:left="0"/>
        <w:jc w:val="both"/>
      </w:pPr>
      <w:r>
        <w:rPr>
          <w:rFonts w:ascii="Times New Roman"/>
          <w:b w:val="false"/>
          <w:i w:val="false"/>
          <w:color w:val="000000"/>
          <w:sz w:val="28"/>
        </w:rPr>
        <w:t xml:space="preserve">
      97-5. Спонсор решает, какие риски минимизировать и/или какие риски можно принять. Подход, применяемый для минимизации рисков до приемлемого уровня, пропорционален значимости риска. Меры по минимизации рисков интегрированы в протокол на уровне дизайна исследования или его проведения, в планы мониторинга, соглашения между сторонами, определяющие распределение обязанностей, системные механизмы, обеспечивающие соблюдение стандартных операционных процедур, а также в тренинг по процедурам и процессам. </w:t>
      </w:r>
    </w:p>
    <w:bookmarkEnd w:id="110"/>
    <w:bookmarkStart w:name="z145" w:id="111"/>
    <w:p>
      <w:pPr>
        <w:spacing w:after="0"/>
        <w:ind w:left="0"/>
        <w:jc w:val="both"/>
      </w:pPr>
      <w:r>
        <w:rPr>
          <w:rFonts w:ascii="Times New Roman"/>
          <w:b w:val="false"/>
          <w:i w:val="false"/>
          <w:color w:val="000000"/>
          <w:sz w:val="28"/>
        </w:rPr>
        <w:t xml:space="preserve">
      Для выявления системных проблем, которые могут повлиять на безопасность субъектов исследования и достоверность его результатов, заранее определяются предельные параметры качества, принимая во внимание медицинские и статистические характеристики переменных, а также статистический дизайн исследования. Выявление отклонений от предельных параметров качества должно влечь за собой решение о принятии необходимых мер. </w:t>
      </w:r>
    </w:p>
    <w:bookmarkEnd w:id="111"/>
    <w:bookmarkStart w:name="z146" w:id="112"/>
    <w:p>
      <w:pPr>
        <w:spacing w:after="0"/>
        <w:ind w:left="0"/>
        <w:jc w:val="both"/>
      </w:pPr>
      <w:r>
        <w:rPr>
          <w:rFonts w:ascii="Times New Roman"/>
          <w:b w:val="false"/>
          <w:i w:val="false"/>
          <w:color w:val="000000"/>
          <w:sz w:val="28"/>
        </w:rPr>
        <w:t xml:space="preserve">
      97-6. Спонсор документирует меры по управлению качеством. Спонсор доводит меры по управлению качеством до сведения тех, кто вовлечен в соответствующие процессы или затронут ими, чтобы облегчить оценку рисков и постоянное улучшение в ходе проведения клинического исследования. </w:t>
      </w:r>
    </w:p>
    <w:bookmarkEnd w:id="112"/>
    <w:bookmarkStart w:name="z147" w:id="113"/>
    <w:p>
      <w:pPr>
        <w:spacing w:after="0"/>
        <w:ind w:left="0"/>
        <w:jc w:val="both"/>
      </w:pPr>
      <w:r>
        <w:rPr>
          <w:rFonts w:ascii="Times New Roman"/>
          <w:b w:val="false"/>
          <w:i w:val="false"/>
          <w:color w:val="000000"/>
          <w:sz w:val="28"/>
        </w:rPr>
        <w:t xml:space="preserve">
      97-7. Спонсор периодически оценивает меры по контролю рисков, чтобы убедиться, что меры по управлению качеством сохраняют свою эффективность и актуальны, принимая во внимание приобретенные знания и опыт. </w:t>
      </w:r>
    </w:p>
    <w:bookmarkEnd w:id="113"/>
    <w:bookmarkStart w:name="z148" w:id="114"/>
    <w:p>
      <w:pPr>
        <w:spacing w:after="0"/>
        <w:ind w:left="0"/>
        <w:jc w:val="both"/>
      </w:pPr>
      <w:r>
        <w:rPr>
          <w:rFonts w:ascii="Times New Roman"/>
          <w:b w:val="false"/>
          <w:i w:val="false"/>
          <w:color w:val="000000"/>
          <w:sz w:val="28"/>
        </w:rPr>
        <w:t>
      97-8. Спонсор описывает применяемый в клиническом исследовании подход к управлению качеством и резюмировать значимые отклонения от заранее определенных предельных параметров качества, а также меры, направленные на их исправление, в отчете о клиническом исследовании (ICH E3, Section 9.6 Data Quality Assurance).";</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99</w:t>
      </w:r>
      <w:r>
        <w:rPr>
          <w:rFonts w:ascii="Times New Roman"/>
          <w:b w:val="false"/>
          <w:i w:val="false"/>
          <w:color w:val="000000"/>
          <w:sz w:val="28"/>
        </w:rPr>
        <w:t xml:space="preserve"> изложить в следующей редакции:</w:t>
      </w:r>
    </w:p>
    <w:bookmarkStart w:name="z150" w:id="115"/>
    <w:p>
      <w:pPr>
        <w:spacing w:after="0"/>
        <w:ind w:left="0"/>
        <w:jc w:val="both"/>
      </w:pPr>
      <w:r>
        <w:rPr>
          <w:rFonts w:ascii="Times New Roman"/>
          <w:b w:val="false"/>
          <w:i w:val="false"/>
          <w:color w:val="000000"/>
          <w:sz w:val="28"/>
        </w:rPr>
        <w:t>
      "99. Передача контрактной исследовательской организации, связанных с исследованием обязанностей и функций документально оформляется.</w:t>
      </w:r>
    </w:p>
    <w:bookmarkEnd w:id="115"/>
    <w:bookmarkStart w:name="z151" w:id="116"/>
    <w:p>
      <w:pPr>
        <w:spacing w:after="0"/>
        <w:ind w:left="0"/>
        <w:jc w:val="both"/>
      </w:pPr>
      <w:r>
        <w:rPr>
          <w:rFonts w:ascii="Times New Roman"/>
          <w:b w:val="false"/>
          <w:i w:val="false"/>
          <w:color w:val="000000"/>
          <w:sz w:val="28"/>
        </w:rPr>
        <w:t>
      Спонсор контролирует выполняемые от его имени функции и обязанности, связанные с проведением клинического исследования, включая связанные с проведением клинического исследования функции и обязанности, которые переданы привлеченной спонсором контрактно-исследовательской организацией третьим сторонам в порядке субподряда.";</w:t>
      </w:r>
    </w:p>
    <w:bookmarkEnd w:id="116"/>
    <w:bookmarkStart w:name="z152" w:id="1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106</w:t>
      </w:r>
      <w:r>
        <w:rPr>
          <w:rFonts w:ascii="Times New Roman"/>
          <w:b w:val="false"/>
          <w:i w:val="false"/>
          <w:color w:val="000000"/>
          <w:sz w:val="28"/>
        </w:rPr>
        <w:t>:</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54" w:id="118"/>
    <w:p>
      <w:pPr>
        <w:spacing w:after="0"/>
        <w:ind w:left="0"/>
        <w:jc w:val="both"/>
      </w:pPr>
      <w:r>
        <w:rPr>
          <w:rFonts w:ascii="Times New Roman"/>
          <w:b w:val="false"/>
          <w:i w:val="false"/>
          <w:color w:val="000000"/>
          <w:sz w:val="28"/>
        </w:rPr>
        <w:t>
      "1) обеспечивает и документально оформляет соответствие систем электронной обработки данных установленным спонсором требованиям к полноте, точности и надежности данных, а также стабильность достижения требуемого результата (то есть валидацию);</w:t>
      </w:r>
    </w:p>
    <w:bookmarkEnd w:id="118"/>
    <w:bookmarkStart w:name="z155" w:id="119"/>
    <w:p>
      <w:pPr>
        <w:spacing w:after="0"/>
        <w:ind w:left="0"/>
        <w:jc w:val="both"/>
      </w:pPr>
      <w:r>
        <w:rPr>
          <w:rFonts w:ascii="Times New Roman"/>
          <w:b w:val="false"/>
          <w:i w:val="false"/>
          <w:color w:val="000000"/>
          <w:sz w:val="28"/>
        </w:rPr>
        <w:t>
      Спонсор должен основывать валидацию таких систем на оценке рисков, которая учитывает назначение системы и ее потенциальное влияние на безопасность субъектов исследования и достоверность его результатов.</w:t>
      </w:r>
    </w:p>
    <w:bookmarkEnd w:id="119"/>
    <w:bookmarkStart w:name="z156" w:id="120"/>
    <w:p>
      <w:pPr>
        <w:spacing w:after="0"/>
        <w:ind w:left="0"/>
        <w:jc w:val="both"/>
      </w:pPr>
      <w:r>
        <w:rPr>
          <w:rFonts w:ascii="Times New Roman"/>
          <w:b w:val="false"/>
          <w:i w:val="false"/>
          <w:color w:val="000000"/>
          <w:sz w:val="28"/>
        </w:rPr>
        <w:t>
      2) имеет Стандартные операции процедуры по использованию этих систем.</w:t>
      </w:r>
    </w:p>
    <w:bookmarkEnd w:id="120"/>
    <w:bookmarkStart w:name="z157" w:id="121"/>
    <w:p>
      <w:pPr>
        <w:spacing w:after="0"/>
        <w:ind w:left="0"/>
        <w:jc w:val="both"/>
      </w:pPr>
      <w:r>
        <w:rPr>
          <w:rFonts w:ascii="Times New Roman"/>
          <w:b w:val="false"/>
          <w:i w:val="false"/>
          <w:color w:val="000000"/>
          <w:sz w:val="28"/>
        </w:rPr>
        <w:t>
      Стандартные операционные процедуры спонсора должны охватывать настройку, установку и использование системы. Стандартные операционные процедуры должны описывать валидацию и функциональное тестирование системы, сбор данных и обращение с ними, поддержание системы, меры безопасности, управление изменениями, резервное копирование и восстановление данных, планирование действий в случае чрезвычайных обстоятельств, а также вывод системы из эксплуатации. Обязанности спонсора, исследователя и других сторон в отношении использования компьютеризированных систем должны быть ясно определены, а пользователи должны пройти тренинг по их использованию.";</w:t>
      </w:r>
    </w:p>
    <w:bookmarkEnd w:id="121"/>
    <w:bookmarkStart w:name="z158" w:id="122"/>
    <w:p>
      <w:pPr>
        <w:spacing w:after="0"/>
        <w:ind w:left="0"/>
        <w:jc w:val="both"/>
      </w:pPr>
      <w:r>
        <w:rPr>
          <w:rFonts w:ascii="Times New Roman"/>
          <w:b w:val="false"/>
          <w:i w:val="false"/>
          <w:color w:val="000000"/>
          <w:sz w:val="28"/>
        </w:rPr>
        <w:t>
      дополнить подпунктом 8) следующего содержания:</w:t>
      </w:r>
    </w:p>
    <w:bookmarkEnd w:id="122"/>
    <w:bookmarkStart w:name="z159" w:id="123"/>
    <w:p>
      <w:pPr>
        <w:spacing w:after="0"/>
        <w:ind w:left="0"/>
        <w:jc w:val="both"/>
      </w:pPr>
      <w:r>
        <w:rPr>
          <w:rFonts w:ascii="Times New Roman"/>
          <w:b w:val="false"/>
          <w:i w:val="false"/>
          <w:color w:val="000000"/>
          <w:sz w:val="28"/>
        </w:rPr>
        <w:t>
      "8) обеспечить целостность данных, включая данные, описывающие контекст, содержание и структуру. Это особенно важно при проведении изменений в компьютеризированных системах, таких как обновление программного обеспечения или миграция данных.";</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148</w:t>
      </w:r>
      <w:r>
        <w:rPr>
          <w:rFonts w:ascii="Times New Roman"/>
          <w:b w:val="false"/>
          <w:i w:val="false"/>
          <w:color w:val="000000"/>
          <w:sz w:val="28"/>
        </w:rPr>
        <w:t xml:space="preserve"> изложить в следующей редакции:</w:t>
      </w:r>
    </w:p>
    <w:bookmarkStart w:name="z161" w:id="124"/>
    <w:p>
      <w:pPr>
        <w:spacing w:after="0"/>
        <w:ind w:left="0"/>
        <w:jc w:val="both"/>
      </w:pPr>
      <w:r>
        <w:rPr>
          <w:rFonts w:ascii="Times New Roman"/>
          <w:b w:val="false"/>
          <w:i w:val="false"/>
          <w:color w:val="000000"/>
          <w:sz w:val="28"/>
        </w:rPr>
        <w:t>
      "148. Спонсор обеспечивает надлежащий мониторинг исследований. Спонсор определяет необходимый объем и содержание мониторинга, исходя из целей, задач, методологии, сложности, маскировки, объема и оцениваемых параметров исследования. С целью мониторинга осуществляется посещение клинических баз до, вовремя и после окончания исследования. Однако в исключительных случаях спонсор решает, что возможен мониторинг без визитов в клинические базы в сочетании с такими мероприятиями, как тренинг, проведение совещаний исследователей, предоставление им подробного письменного руководства для обеспечения гарантий надлежащего проведения исследования в соответствии с настоящим Стандартом. Статистически определяемые контрольные выборки служат приемлемым методом для отбора проверяемых данных.</w:t>
      </w:r>
    </w:p>
    <w:bookmarkEnd w:id="124"/>
    <w:bookmarkStart w:name="z162" w:id="125"/>
    <w:p>
      <w:pPr>
        <w:spacing w:after="0"/>
        <w:ind w:left="0"/>
        <w:jc w:val="both"/>
      </w:pPr>
      <w:r>
        <w:rPr>
          <w:rFonts w:ascii="Times New Roman"/>
          <w:b w:val="false"/>
          <w:i w:val="false"/>
          <w:color w:val="000000"/>
          <w:sz w:val="28"/>
        </w:rPr>
        <w:t xml:space="preserve">
      Спонсор разрабатывает системный, учитывающий приоритеты и риски подход к мониторингу клинического исследования. Гибкость в отношении объема и содержания мониторинга, описанная в данном разделе, направлена на то, чтобы сделать возможными различные подходы, которые улучшают эффективность и продуктивность мониторинга. Спонсор выбирает мониторинг с выездом в центры, комбинацию выездного и централизованного 36 мониторинга или, если это оправдано, только централизованный мониторинг. Спонсор должен задокументировать основания для выбора стратегии мониторинга (например, в плане мониторинга). </w:t>
      </w:r>
    </w:p>
    <w:bookmarkEnd w:id="125"/>
    <w:bookmarkStart w:name="z163" w:id="126"/>
    <w:p>
      <w:pPr>
        <w:spacing w:after="0"/>
        <w:ind w:left="0"/>
        <w:jc w:val="both"/>
      </w:pPr>
      <w:r>
        <w:rPr>
          <w:rFonts w:ascii="Times New Roman"/>
          <w:b w:val="false"/>
          <w:i w:val="false"/>
          <w:color w:val="000000"/>
          <w:sz w:val="28"/>
        </w:rPr>
        <w:t xml:space="preserve">
      Выездной мониторинг выполняется в центрах, в которых проводится клиническое исследование. Централизованный мониторинг представляет собой дистанционную оценку собираемых данных, своевременно выполняемую квалифицированными и получившими необходимый тренинг лицами (например, менеджерами по управлению данными, биостатистиками). </w:t>
      </w:r>
    </w:p>
    <w:bookmarkEnd w:id="126"/>
    <w:bookmarkStart w:name="z164" w:id="127"/>
    <w:p>
      <w:pPr>
        <w:spacing w:after="0"/>
        <w:ind w:left="0"/>
        <w:jc w:val="both"/>
      </w:pPr>
      <w:r>
        <w:rPr>
          <w:rFonts w:ascii="Times New Roman"/>
          <w:b w:val="false"/>
          <w:i w:val="false"/>
          <w:color w:val="000000"/>
          <w:sz w:val="28"/>
        </w:rPr>
        <w:t xml:space="preserve">
      Централизованный мониторинг позволяет дополнить или сократить объем и/или частоту выездного мониторинга и провести различие между надежными и потенциально ненадежными данными. </w:t>
      </w:r>
    </w:p>
    <w:bookmarkEnd w:id="127"/>
    <w:bookmarkStart w:name="z165" w:id="128"/>
    <w:p>
      <w:pPr>
        <w:spacing w:after="0"/>
        <w:ind w:left="0"/>
        <w:jc w:val="both"/>
      </w:pPr>
      <w:r>
        <w:rPr>
          <w:rFonts w:ascii="Times New Roman"/>
          <w:b w:val="false"/>
          <w:i w:val="false"/>
          <w:color w:val="000000"/>
          <w:sz w:val="28"/>
        </w:rPr>
        <w:t xml:space="preserve">
      Оценка собираемых в ходе дистанционного мониторинга данных, которая может включать в себя статистический анализ, может быть использована, чтобы: </w:t>
      </w:r>
    </w:p>
    <w:bookmarkEnd w:id="128"/>
    <w:bookmarkStart w:name="z166" w:id="129"/>
    <w:p>
      <w:pPr>
        <w:spacing w:after="0"/>
        <w:ind w:left="0"/>
        <w:jc w:val="both"/>
      </w:pPr>
      <w:r>
        <w:rPr>
          <w:rFonts w:ascii="Times New Roman"/>
          <w:b w:val="false"/>
          <w:i w:val="false"/>
          <w:color w:val="000000"/>
          <w:sz w:val="28"/>
        </w:rPr>
        <w:t xml:space="preserve">
      1) выявить отсутствующие или несогласующиеся данные, выбросы данных (data outliers), непредвиденное отсутствие вариабельности и отклонения от протокола; </w:t>
      </w:r>
    </w:p>
    <w:bookmarkEnd w:id="129"/>
    <w:bookmarkStart w:name="z167" w:id="130"/>
    <w:p>
      <w:pPr>
        <w:spacing w:after="0"/>
        <w:ind w:left="0"/>
        <w:jc w:val="both"/>
      </w:pPr>
      <w:r>
        <w:rPr>
          <w:rFonts w:ascii="Times New Roman"/>
          <w:b w:val="false"/>
          <w:i w:val="false"/>
          <w:color w:val="000000"/>
          <w:sz w:val="28"/>
        </w:rPr>
        <w:t xml:space="preserve">
      2) проверить тренды данных, такие как разброс, согласованность и вариабельность данных в центрах и между центрами; </w:t>
      </w:r>
    </w:p>
    <w:bookmarkEnd w:id="130"/>
    <w:bookmarkStart w:name="z168" w:id="131"/>
    <w:p>
      <w:pPr>
        <w:spacing w:after="0"/>
        <w:ind w:left="0"/>
        <w:jc w:val="both"/>
      </w:pPr>
      <w:r>
        <w:rPr>
          <w:rFonts w:ascii="Times New Roman"/>
          <w:b w:val="false"/>
          <w:i w:val="false"/>
          <w:color w:val="000000"/>
          <w:sz w:val="28"/>
        </w:rPr>
        <w:t xml:space="preserve">
      3) обнаружить систематические и значимые ошибки в сборе данных и их представлении в центрах и между центрами; или потенциальное манипулирование данными или проблемы с целостностью данных; </w:t>
      </w:r>
    </w:p>
    <w:bookmarkEnd w:id="131"/>
    <w:bookmarkStart w:name="z169" w:id="132"/>
    <w:p>
      <w:pPr>
        <w:spacing w:after="0"/>
        <w:ind w:left="0"/>
        <w:jc w:val="both"/>
      </w:pPr>
      <w:r>
        <w:rPr>
          <w:rFonts w:ascii="Times New Roman"/>
          <w:b w:val="false"/>
          <w:i w:val="false"/>
          <w:color w:val="000000"/>
          <w:sz w:val="28"/>
        </w:rPr>
        <w:t xml:space="preserve">
      4) анализировать характеристики центров и показатели производительности; </w:t>
      </w:r>
    </w:p>
    <w:bookmarkEnd w:id="132"/>
    <w:bookmarkStart w:name="z170" w:id="133"/>
    <w:p>
      <w:pPr>
        <w:spacing w:after="0"/>
        <w:ind w:left="0"/>
        <w:jc w:val="both"/>
      </w:pPr>
      <w:r>
        <w:rPr>
          <w:rFonts w:ascii="Times New Roman"/>
          <w:b w:val="false"/>
          <w:i w:val="false"/>
          <w:color w:val="000000"/>
          <w:sz w:val="28"/>
        </w:rPr>
        <w:t>
      5) выбрать центры и/или процессы для прицельного выездного мониторинга.";</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151</w:t>
      </w:r>
      <w:r>
        <w:rPr>
          <w:rFonts w:ascii="Times New Roman"/>
          <w:b w:val="false"/>
          <w:i w:val="false"/>
          <w:color w:val="000000"/>
          <w:sz w:val="28"/>
        </w:rPr>
        <w:t xml:space="preserve"> дополнить подпунктом 5) следующего содержания:</w:t>
      </w:r>
    </w:p>
    <w:bookmarkStart w:name="z172" w:id="134"/>
    <w:p>
      <w:pPr>
        <w:spacing w:after="0"/>
        <w:ind w:left="0"/>
        <w:jc w:val="both"/>
      </w:pPr>
      <w:r>
        <w:rPr>
          <w:rFonts w:ascii="Times New Roman"/>
          <w:b w:val="false"/>
          <w:i w:val="false"/>
          <w:color w:val="000000"/>
          <w:sz w:val="28"/>
        </w:rPr>
        <w:t>
      "5) отчеты о выездном и централизованном мониторинге должны своевременно предоставляться спонсору (вкл. соответствующий менеджмент и персонал, отвечающий за исследование и контроль за центром) для проверки и принятия необходимых мер. Результаты мониторинга должны достаточно подробно документироваться с целью обеспечения возможности оценки соблюдения плана мониторинга. Отчетность о централизованном мониторинге должна носить регулярный характер и может быть независима от визитов в центры.";</w:t>
      </w:r>
    </w:p>
    <w:bookmarkEnd w:id="134"/>
    <w:bookmarkStart w:name="z173" w:id="135"/>
    <w:p>
      <w:pPr>
        <w:spacing w:after="0"/>
        <w:ind w:left="0"/>
        <w:jc w:val="both"/>
      </w:pPr>
      <w:r>
        <w:rPr>
          <w:rFonts w:ascii="Times New Roman"/>
          <w:b w:val="false"/>
          <w:i w:val="false"/>
          <w:color w:val="000000"/>
          <w:sz w:val="28"/>
        </w:rPr>
        <w:t xml:space="preserve">
      дополнить пунктом 151-1 следующего содержания: </w:t>
      </w:r>
    </w:p>
    <w:bookmarkEnd w:id="135"/>
    <w:bookmarkStart w:name="z174" w:id="136"/>
    <w:p>
      <w:pPr>
        <w:spacing w:after="0"/>
        <w:ind w:left="0"/>
        <w:jc w:val="both"/>
      </w:pPr>
      <w:r>
        <w:rPr>
          <w:rFonts w:ascii="Times New Roman"/>
          <w:b w:val="false"/>
          <w:i w:val="false"/>
          <w:color w:val="000000"/>
          <w:sz w:val="28"/>
        </w:rPr>
        <w:t>
      "151-1. Спонсор должен разработать план мониторинга, который должен соответствовать конкретным рискам для безопасности субъектов исследования и целостности его данных. План должен описывать стратегию мониторинга, распределение между всеми сторонам обязанностей по мониторингу, применяемые методы мониторинга и обоснование их применения. План должен также уделять особое внимание мониторингу критических данных и процессов. Особое внимание следует уделить тем аспектам, которые не являются рутинной клинической практикой и требуют дополнительного тренинга. План мониторинга должен содержать ссылки на применимые процедуры и политики.";</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155</w:t>
      </w:r>
      <w:r>
        <w:rPr>
          <w:rFonts w:ascii="Times New Roman"/>
          <w:b w:val="false"/>
          <w:i w:val="false"/>
          <w:color w:val="000000"/>
          <w:sz w:val="28"/>
        </w:rPr>
        <w:t xml:space="preserve"> изложить в следующей редакции:</w:t>
      </w:r>
    </w:p>
    <w:bookmarkStart w:name="z176" w:id="137"/>
    <w:p>
      <w:pPr>
        <w:spacing w:after="0"/>
        <w:ind w:left="0"/>
        <w:jc w:val="both"/>
      </w:pPr>
      <w:r>
        <w:rPr>
          <w:rFonts w:ascii="Times New Roman"/>
          <w:b w:val="false"/>
          <w:i w:val="false"/>
          <w:color w:val="000000"/>
          <w:sz w:val="28"/>
        </w:rPr>
        <w:t>
      "155. Несоблюдение протокола, стандартных операционных процедур, настоящего Стандарта исследователем или медицинской организацией, или сотрудником спонсора ведет к безотлагательным действиям спонсора, направленным на обеспечение их соблюдения.</w:t>
      </w:r>
    </w:p>
    <w:bookmarkEnd w:id="137"/>
    <w:bookmarkStart w:name="z177" w:id="138"/>
    <w:p>
      <w:pPr>
        <w:spacing w:after="0"/>
        <w:ind w:left="0"/>
        <w:jc w:val="both"/>
      </w:pPr>
      <w:r>
        <w:rPr>
          <w:rFonts w:ascii="Times New Roman"/>
          <w:b w:val="false"/>
          <w:i w:val="false"/>
          <w:color w:val="000000"/>
          <w:sz w:val="28"/>
        </w:rPr>
        <w:t>
      При обнаружении нарушений, которые значительно влияют или потенциально могут значительно повлиять на безопасность субъектов исследования или достоверность его результатов, спонсор должен провести анализ причин и принять соответствующие корректирующие и превентивные меры.";</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195</w:t>
      </w:r>
      <w:r>
        <w:rPr>
          <w:rFonts w:ascii="Times New Roman"/>
          <w:b w:val="false"/>
          <w:i w:val="false"/>
          <w:color w:val="000000"/>
          <w:sz w:val="28"/>
        </w:rPr>
        <w:t xml:space="preserve"> изложить в следующей редакции:</w:t>
      </w:r>
    </w:p>
    <w:bookmarkStart w:name="z179" w:id="139"/>
    <w:p>
      <w:pPr>
        <w:spacing w:after="0"/>
        <w:ind w:left="0"/>
        <w:jc w:val="both"/>
      </w:pPr>
      <w:r>
        <w:rPr>
          <w:rFonts w:ascii="Times New Roman"/>
          <w:b w:val="false"/>
          <w:i w:val="false"/>
          <w:color w:val="000000"/>
          <w:sz w:val="28"/>
        </w:rPr>
        <w:t>
      "195. Основными документами являются документы, которые вместе или по отдельности позволяют оценить проведение исследования и качество полученных данных. Эти документы служат доказательством соблюдения исследователем, спонсором и монитором настоящего Стандарта.</w:t>
      </w:r>
    </w:p>
    <w:bookmarkEnd w:id="139"/>
    <w:bookmarkStart w:name="z180" w:id="140"/>
    <w:p>
      <w:pPr>
        <w:spacing w:after="0"/>
        <w:ind w:left="0"/>
        <w:jc w:val="both"/>
      </w:pPr>
      <w:r>
        <w:rPr>
          <w:rFonts w:ascii="Times New Roman"/>
          <w:b w:val="false"/>
          <w:i w:val="false"/>
          <w:color w:val="000000"/>
          <w:sz w:val="28"/>
        </w:rPr>
        <w:t>
      Своевременное помещение основных документов в файлы исследователя (медицинской организации) и спонсора существенно способствует успешному выполнению в рамках клинического исследования своих функций исследователем, спонсором и монитором. Кроме того, эти документы являются объектом независимого аудита со стороны спонсора и инспекции со стороны уполномоченного органа как части процесса подтверждения законности проведения исследования и достоверности собранных данных.</w:t>
      </w:r>
    </w:p>
    <w:bookmarkEnd w:id="140"/>
    <w:bookmarkStart w:name="z181" w:id="141"/>
    <w:p>
      <w:pPr>
        <w:spacing w:after="0"/>
        <w:ind w:left="0"/>
        <w:jc w:val="both"/>
      </w:pPr>
      <w:r>
        <w:rPr>
          <w:rFonts w:ascii="Times New Roman"/>
          <w:b w:val="false"/>
          <w:i w:val="false"/>
          <w:color w:val="000000"/>
          <w:sz w:val="28"/>
        </w:rPr>
        <w:t>
      Минимальный перечень основных документов сгруппирован в три раздела в зависимости от стадии клинического исследования, на которой они обычно создаются:</w:t>
      </w:r>
    </w:p>
    <w:bookmarkEnd w:id="141"/>
    <w:bookmarkStart w:name="z182" w:id="142"/>
    <w:p>
      <w:pPr>
        <w:spacing w:after="0"/>
        <w:ind w:left="0"/>
        <w:jc w:val="both"/>
      </w:pPr>
      <w:r>
        <w:rPr>
          <w:rFonts w:ascii="Times New Roman"/>
          <w:b w:val="false"/>
          <w:i w:val="false"/>
          <w:color w:val="000000"/>
          <w:sz w:val="28"/>
        </w:rPr>
        <w:t>
      1) перед началом клинической фазы исследования;</w:t>
      </w:r>
    </w:p>
    <w:bookmarkEnd w:id="142"/>
    <w:bookmarkStart w:name="z183" w:id="143"/>
    <w:p>
      <w:pPr>
        <w:spacing w:after="0"/>
        <w:ind w:left="0"/>
        <w:jc w:val="both"/>
      </w:pPr>
      <w:r>
        <w:rPr>
          <w:rFonts w:ascii="Times New Roman"/>
          <w:b w:val="false"/>
          <w:i w:val="false"/>
          <w:color w:val="000000"/>
          <w:sz w:val="28"/>
        </w:rPr>
        <w:t>
      2) во время клинической фазы исследования;</w:t>
      </w:r>
    </w:p>
    <w:bookmarkEnd w:id="143"/>
    <w:bookmarkStart w:name="z184" w:id="144"/>
    <w:p>
      <w:pPr>
        <w:spacing w:after="0"/>
        <w:ind w:left="0"/>
        <w:jc w:val="both"/>
      </w:pPr>
      <w:r>
        <w:rPr>
          <w:rFonts w:ascii="Times New Roman"/>
          <w:b w:val="false"/>
          <w:i w:val="false"/>
          <w:color w:val="000000"/>
          <w:sz w:val="28"/>
        </w:rPr>
        <w:t>
      3) после завершения или преждевременного прекращения исследования.</w:t>
      </w:r>
    </w:p>
    <w:bookmarkEnd w:id="144"/>
    <w:bookmarkStart w:name="z185" w:id="145"/>
    <w:p>
      <w:pPr>
        <w:spacing w:after="0"/>
        <w:ind w:left="0"/>
        <w:jc w:val="both"/>
      </w:pPr>
      <w:r>
        <w:rPr>
          <w:rFonts w:ascii="Times New Roman"/>
          <w:b w:val="false"/>
          <w:i w:val="false"/>
          <w:color w:val="000000"/>
          <w:sz w:val="28"/>
        </w:rPr>
        <w:t>
      В указанных ниже подпунктах главы 8 указаны цели каждого документа, и место их хранения: в файлах исследователя (медицинской организации) либо спонсора, либо в обоих местах. Допускается объединение некоторых документов при условии, что отдельные элементы легко идентифицируются.</w:t>
      </w:r>
    </w:p>
    <w:bookmarkEnd w:id="145"/>
    <w:bookmarkStart w:name="z186" w:id="146"/>
    <w:p>
      <w:pPr>
        <w:spacing w:after="0"/>
        <w:ind w:left="0"/>
        <w:jc w:val="both"/>
      </w:pPr>
      <w:r>
        <w:rPr>
          <w:rFonts w:ascii="Times New Roman"/>
          <w:b w:val="false"/>
          <w:i w:val="false"/>
          <w:color w:val="000000"/>
          <w:sz w:val="28"/>
        </w:rPr>
        <w:t>
      Файлы исследования создаются в начале исследования как в месте нахождения исследователя (медицинской организации), так и в офисе спонсора. Исследование можно считать официально завершенным только после того, как монитор проверит файлы исследователя (медицинской организации), и спонсора и подтвердит наличие всех необходимых документов в соответствующих файлах.</w:t>
      </w:r>
    </w:p>
    <w:bookmarkEnd w:id="146"/>
    <w:bookmarkStart w:name="z187" w:id="147"/>
    <w:p>
      <w:pPr>
        <w:spacing w:after="0"/>
        <w:ind w:left="0"/>
        <w:jc w:val="both"/>
      </w:pPr>
      <w:r>
        <w:rPr>
          <w:rFonts w:ascii="Times New Roman"/>
          <w:b w:val="false"/>
          <w:i w:val="false"/>
          <w:color w:val="000000"/>
          <w:sz w:val="28"/>
        </w:rPr>
        <w:t>
      Перечисленные в настоящем Стандарте документы, как по отдельности, так и в совокупности подвергаются аудиту спонсора и инспекции (проверке) уполномоченного органа и предъявляются при проведении таковых.</w:t>
      </w:r>
    </w:p>
    <w:bookmarkEnd w:id="147"/>
    <w:bookmarkStart w:name="z188" w:id="148"/>
    <w:p>
      <w:pPr>
        <w:spacing w:after="0"/>
        <w:ind w:left="0"/>
        <w:jc w:val="both"/>
      </w:pPr>
      <w:r>
        <w:rPr>
          <w:rFonts w:ascii="Times New Roman"/>
          <w:b w:val="false"/>
          <w:i w:val="false"/>
          <w:color w:val="000000"/>
          <w:sz w:val="28"/>
        </w:rPr>
        <w:t>
      Спонсор и исследователь (медицинская организация) должны вести документацию о местонахождении имеющихся у них основных документов, включая первичные документы. Система хранения документации, применяемая в ходе исследования и для целей архивирования (вне зависимости от типа носителя), должна обеспечивать идентификацию документов, прослеживаемость истории версий, поиск и извлечение.</w:t>
      </w:r>
    </w:p>
    <w:bookmarkEnd w:id="148"/>
    <w:bookmarkStart w:name="z189" w:id="149"/>
    <w:p>
      <w:pPr>
        <w:spacing w:after="0"/>
        <w:ind w:left="0"/>
        <w:jc w:val="both"/>
      </w:pPr>
      <w:r>
        <w:rPr>
          <w:rFonts w:ascii="Times New Roman"/>
          <w:b w:val="false"/>
          <w:i w:val="false"/>
          <w:color w:val="000000"/>
          <w:sz w:val="28"/>
        </w:rPr>
        <w:t>
      Основные документы исследования могут быть дополнены или сокращены, когда это оправдано (до начала исследования), в зависимости от важности и значимости соответствующих документов для исследования.</w:t>
      </w:r>
    </w:p>
    <w:bookmarkEnd w:id="149"/>
    <w:bookmarkStart w:name="z190" w:id="150"/>
    <w:p>
      <w:pPr>
        <w:spacing w:after="0"/>
        <w:ind w:left="0"/>
        <w:jc w:val="both"/>
      </w:pPr>
      <w:r>
        <w:rPr>
          <w:rFonts w:ascii="Times New Roman"/>
          <w:b w:val="false"/>
          <w:i w:val="false"/>
          <w:color w:val="000000"/>
          <w:sz w:val="28"/>
        </w:rPr>
        <w:t>
      Спонсор должен проследить за тем, чтобы исследователь имел контроль и постоянный доступ к данным ИРК, переданным спонсору. Спонсор не должен иметь исключительный контроль за этими данными.</w:t>
      </w:r>
    </w:p>
    <w:bookmarkEnd w:id="150"/>
    <w:bookmarkStart w:name="z191" w:id="151"/>
    <w:p>
      <w:pPr>
        <w:spacing w:after="0"/>
        <w:ind w:left="0"/>
        <w:jc w:val="both"/>
      </w:pPr>
      <w:r>
        <w:rPr>
          <w:rFonts w:ascii="Times New Roman"/>
          <w:b w:val="false"/>
          <w:i w:val="false"/>
          <w:color w:val="000000"/>
          <w:sz w:val="28"/>
        </w:rPr>
        <w:t>
      Если используется копия для замены оригинального документа (например, первичных документов, ИРК), то эта копия должна отвечать требованиям, предъявляемым к сертифицированным копиям.</w:t>
      </w:r>
    </w:p>
    <w:bookmarkEnd w:id="151"/>
    <w:bookmarkStart w:name="z192" w:id="152"/>
    <w:p>
      <w:pPr>
        <w:spacing w:after="0"/>
        <w:ind w:left="0"/>
        <w:jc w:val="both"/>
      </w:pPr>
      <w:r>
        <w:rPr>
          <w:rFonts w:ascii="Times New Roman"/>
          <w:b w:val="false"/>
          <w:i w:val="false"/>
          <w:color w:val="000000"/>
          <w:sz w:val="28"/>
        </w:rPr>
        <w:t>
      Исследователь (медицинская организация) должны контролировать все основные документы и записи, созданные исследователем (медицинской организацией) до, во время и после клинического исследования.".</w:t>
      </w:r>
    </w:p>
    <w:bookmarkEnd w:id="1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