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45ab" w14:textId="e934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национальной экономики Республики Казахстан от 29 декабря 2014 года № 180 "Об утверждении перечня существенно важных товаров"</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10 ноября 2025 года № 319-НҚ. Зарегистрирован в Министерстве юстиции Республики Казахстан 17 ноября 2025 года № 37423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декабря 2014 года № 180 "Об утверждении перечня существенно важных товаров" (зарегистрирован в Реестре государственной регистрации нормативных правовых актов под № 10953)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существенно важных товаров, утвержденный указанным приказом:</w:t>
      </w:r>
    </w:p>
    <w:bookmarkStart w:name="z7" w:id="2"/>
    <w:p>
      <w:pPr>
        <w:spacing w:after="0"/>
        <w:ind w:left="0"/>
        <w:jc w:val="both"/>
      </w:pPr>
      <w:r>
        <w:rPr>
          <w:rFonts w:ascii="Times New Roman"/>
          <w:b w:val="false"/>
          <w:i w:val="false"/>
          <w:color w:val="000000"/>
          <w:sz w:val="28"/>
        </w:rPr>
        <w:t>
      дополнить строками, порядковые номера 153, 154, 155, 156, 157, 158, 159, 160, 161, 162, 163, 164, 165, 166, 167, 168, 169 и 170, следующего содержания:</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 состоящая исключительно из листов древесины (кроме бамбука), толщина каждого из которых не более 6 мм, прочая, имеющая оба наружных слоя из древесины хвойных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других первичных формах (кроме железа товарной позиции 7203)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Коррозионностойкая сталь в слитках или других первичных формах; полуфабрикаты из коррозионностойкой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легированных сталей в слитках или других первичных формах; полуфабрикаты из других видов легированных сталей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заготовки для прокатки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сплавы прочие (кроме лигатур товарной позиции 7405)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слябы и биллеты: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 содержащий сурьму в качестве элемента, преобладающего по массе среди других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 прочий: для рафинирования, содержащий 0,02 мас.% или более серебра (черновой свинец, или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прочий: прочий: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торговли и интеграции Республики Казахстан. </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