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2cd7" w14:textId="eac2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7 ноября 2025 года № 70. Зарегистрировано в Министерстве юстиции Республики Казахстан 11 ноября 2025 года № 37377. Утратило силу постановлением Правления Агентства Республики Казахстан по регулированию и развитию финансового рынка от 28 апреля 2026 года № 86.</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следующие изменение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42 изложить в следующей редакции:</w:t>
      </w:r>
    </w:p>
    <w:bookmarkStart w:name="z8" w:id="3"/>
    <w:p>
      <w:pPr>
        <w:spacing w:after="0"/>
        <w:ind w:left="0"/>
        <w:jc w:val="both"/>
      </w:pPr>
      <w:r>
        <w:rPr>
          <w:rFonts w:ascii="Times New Roman"/>
          <w:b w:val="false"/>
          <w:i w:val="false"/>
          <w:color w:val="000000"/>
          <w:sz w:val="28"/>
        </w:rPr>
        <w:t>
      "2) банк осуществляет кредитную деятельность и управление кредитным риском в рамках утвержденной кредитной политики, которая включает, но не ограничиваясь, следующее:</w:t>
      </w:r>
    </w:p>
    <w:bookmarkEnd w:id="3"/>
    <w:bookmarkStart w:name="z9" w:id="4"/>
    <w:p>
      <w:pPr>
        <w:spacing w:after="0"/>
        <w:ind w:left="0"/>
        <w:jc w:val="both"/>
      </w:pPr>
      <w:r>
        <w:rPr>
          <w:rFonts w:ascii="Times New Roman"/>
          <w:b w:val="false"/>
          <w:i w:val="false"/>
          <w:color w:val="000000"/>
          <w:sz w:val="28"/>
        </w:rPr>
        <w:t>
      основные направления кредитной деятельности банка;</w:t>
      </w:r>
    </w:p>
    <w:bookmarkEnd w:id="4"/>
    <w:bookmarkStart w:name="z10" w:id="5"/>
    <w:p>
      <w:pPr>
        <w:spacing w:after="0"/>
        <w:ind w:left="0"/>
        <w:jc w:val="both"/>
      </w:pPr>
      <w:r>
        <w:rPr>
          <w:rFonts w:ascii="Times New Roman"/>
          <w:b w:val="false"/>
          <w:i w:val="false"/>
          <w:color w:val="000000"/>
          <w:sz w:val="28"/>
        </w:rPr>
        <w:t>
      участников кредитного процесса и сферы их ответственности;</w:t>
      </w:r>
    </w:p>
    <w:bookmarkEnd w:id="5"/>
    <w:bookmarkStart w:name="z11" w:id="6"/>
    <w:p>
      <w:pPr>
        <w:spacing w:after="0"/>
        <w:ind w:left="0"/>
        <w:jc w:val="both"/>
      </w:pPr>
      <w:r>
        <w:rPr>
          <w:rFonts w:ascii="Times New Roman"/>
          <w:b w:val="false"/>
          <w:i w:val="false"/>
          <w:color w:val="000000"/>
          <w:sz w:val="28"/>
        </w:rPr>
        <w:t>
      внутренний порядок принятия кредитных решений, включая порядок рассмотрения и одобрения кредитов, в том числе в отношении кредитования лиц, связанных с банком особыми отношениями, лимиты кредитования в целях ограничения концентрации кредитного риска;</w:t>
      </w:r>
    </w:p>
    <w:bookmarkEnd w:id="6"/>
    <w:bookmarkStart w:name="z12" w:id="7"/>
    <w:p>
      <w:pPr>
        <w:spacing w:after="0"/>
        <w:ind w:left="0"/>
        <w:jc w:val="both"/>
      </w:pPr>
      <w:r>
        <w:rPr>
          <w:rFonts w:ascii="Times New Roman"/>
          <w:b w:val="false"/>
          <w:i w:val="false"/>
          <w:color w:val="000000"/>
          <w:sz w:val="28"/>
        </w:rPr>
        <w:t>
      процедуру анализа кредитоспособности заемщика.</w:t>
      </w:r>
    </w:p>
    <w:bookmarkEnd w:id="7"/>
    <w:bookmarkStart w:name="z13" w:id="8"/>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превышает 0,01 (ноль целых одну сотую) процента от собственного капитала банка, размер которого выше 100 (ста) миллиардов тенге, или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8"/>
    <w:bookmarkStart w:name="z14" w:id="9"/>
    <w:p>
      <w:pPr>
        <w:spacing w:after="0"/>
        <w:ind w:left="0"/>
        <w:jc w:val="both"/>
      </w:pPr>
      <w:r>
        <w:rPr>
          <w:rFonts w:ascii="Times New Roman"/>
          <w:b w:val="false"/>
          <w:i w:val="false"/>
          <w:color w:val="000000"/>
          <w:sz w:val="28"/>
        </w:rPr>
        <w:t>
      наличие постоянного и достаточного дохода заемщика;</w:t>
      </w:r>
    </w:p>
    <w:bookmarkEnd w:id="9"/>
    <w:bookmarkStart w:name="z15" w:id="10"/>
    <w:p>
      <w:pPr>
        <w:spacing w:after="0"/>
        <w:ind w:left="0"/>
        <w:jc w:val="both"/>
      </w:pPr>
      <w:r>
        <w:rPr>
          <w:rFonts w:ascii="Times New Roman"/>
          <w:b w:val="false"/>
          <w:i w:val="false"/>
          <w:color w:val="000000"/>
          <w:sz w:val="28"/>
        </w:rPr>
        <w:t>
      наличие недвижимого и другого имущества;</w:t>
      </w:r>
    </w:p>
    <w:bookmarkEnd w:id="10"/>
    <w:bookmarkStart w:name="z16" w:id="11"/>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11"/>
    <w:bookmarkStart w:name="z17" w:id="12"/>
    <w:p>
      <w:pPr>
        <w:spacing w:after="0"/>
        <w:ind w:left="0"/>
        <w:jc w:val="both"/>
      </w:pPr>
      <w:r>
        <w:rPr>
          <w:rFonts w:ascii="Times New Roman"/>
          <w:b w:val="false"/>
          <w:i w:val="false"/>
          <w:color w:val="000000"/>
          <w:sz w:val="28"/>
        </w:rPr>
        <w:t>
      долговая нагрузка;</w:t>
      </w:r>
    </w:p>
    <w:bookmarkEnd w:id="12"/>
    <w:bookmarkStart w:name="z18" w:id="13"/>
    <w:p>
      <w:pPr>
        <w:spacing w:after="0"/>
        <w:ind w:left="0"/>
        <w:jc w:val="both"/>
      </w:pPr>
      <w:r>
        <w:rPr>
          <w:rFonts w:ascii="Times New Roman"/>
          <w:b w:val="false"/>
          <w:i w:val="false"/>
          <w:color w:val="000000"/>
          <w:sz w:val="28"/>
        </w:rPr>
        <w:t>
      платежная дисциплина (кредитная история) по займам;</w:t>
      </w:r>
    </w:p>
    <w:bookmarkEnd w:id="13"/>
    <w:bookmarkStart w:name="z19" w:id="14"/>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14"/>
    <w:bookmarkStart w:name="z20" w:id="15"/>
    <w:p>
      <w:pPr>
        <w:spacing w:after="0"/>
        <w:ind w:left="0"/>
        <w:jc w:val="both"/>
      </w:pPr>
      <w:r>
        <w:rPr>
          <w:rFonts w:ascii="Times New Roman"/>
          <w:b w:val="false"/>
          <w:i w:val="false"/>
          <w:color w:val="000000"/>
          <w:sz w:val="28"/>
        </w:rPr>
        <w:t>
      наличие иной задолженности;</w:t>
      </w:r>
    </w:p>
    <w:bookmarkEnd w:id="15"/>
    <w:bookmarkStart w:name="z21" w:id="16"/>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16"/>
    <w:bookmarkStart w:name="z22" w:id="17"/>
    <w:p>
      <w:pPr>
        <w:spacing w:after="0"/>
        <w:ind w:left="0"/>
        <w:jc w:val="both"/>
      </w:pPr>
      <w:r>
        <w:rPr>
          <w:rFonts w:ascii="Times New Roman"/>
          <w:b w:val="false"/>
          <w:i w:val="false"/>
          <w:color w:val="000000"/>
          <w:sz w:val="28"/>
        </w:rPr>
        <w:t>
      остатки и операции по банковским счетам;</w:t>
      </w:r>
    </w:p>
    <w:bookmarkEnd w:id="17"/>
    <w:bookmarkStart w:name="z23" w:id="18"/>
    <w:p>
      <w:pPr>
        <w:spacing w:after="0"/>
        <w:ind w:left="0"/>
        <w:jc w:val="both"/>
      </w:pPr>
      <w:r>
        <w:rPr>
          <w:rFonts w:ascii="Times New Roman"/>
          <w:b w:val="false"/>
          <w:i w:val="false"/>
          <w:color w:val="000000"/>
          <w:sz w:val="28"/>
        </w:rPr>
        <w:t>
      информация об образовании и занятости (сфере деятельности);</w:t>
      </w:r>
    </w:p>
    <w:bookmarkEnd w:id="18"/>
    <w:bookmarkStart w:name="z24" w:id="19"/>
    <w:p>
      <w:pPr>
        <w:spacing w:after="0"/>
        <w:ind w:left="0"/>
        <w:jc w:val="both"/>
      </w:pPr>
      <w:r>
        <w:rPr>
          <w:rFonts w:ascii="Times New Roman"/>
          <w:b w:val="false"/>
          <w:i w:val="false"/>
          <w:color w:val="000000"/>
          <w:sz w:val="28"/>
        </w:rPr>
        <w:t>
      социально-демографические характеристики;</w:t>
      </w:r>
    </w:p>
    <w:bookmarkEnd w:id="19"/>
    <w:bookmarkStart w:name="z25" w:id="20"/>
    <w:p>
      <w:pPr>
        <w:spacing w:after="0"/>
        <w:ind w:left="0"/>
        <w:jc w:val="both"/>
      </w:pPr>
      <w:r>
        <w:rPr>
          <w:rFonts w:ascii="Times New Roman"/>
          <w:b w:val="false"/>
          <w:i w:val="false"/>
          <w:color w:val="000000"/>
          <w:sz w:val="28"/>
        </w:rPr>
        <w:t>
      информация о целевом использовании денег;</w:t>
      </w:r>
    </w:p>
    <w:bookmarkEnd w:id="20"/>
    <w:bookmarkStart w:name="z26" w:id="21"/>
    <w:p>
      <w:pPr>
        <w:spacing w:after="0"/>
        <w:ind w:left="0"/>
        <w:jc w:val="both"/>
      </w:pPr>
      <w:r>
        <w:rPr>
          <w:rFonts w:ascii="Times New Roman"/>
          <w:b w:val="false"/>
          <w:i w:val="false"/>
          <w:color w:val="000000"/>
          <w:sz w:val="28"/>
        </w:rPr>
        <w:t>
      дополнительная информация о доходах заемщика.</w:t>
      </w:r>
    </w:p>
    <w:bookmarkEnd w:id="21"/>
    <w:bookmarkStart w:name="z27" w:id="22"/>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не превышает 0,01 (ноль целых одну сотую) процента от собственного капитала банка, размер которого выше 100 (ста) миллиардов тенге, или не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22"/>
    <w:bookmarkStart w:name="z28" w:id="23"/>
    <w:p>
      <w:pPr>
        <w:spacing w:after="0"/>
        <w:ind w:left="0"/>
        <w:jc w:val="both"/>
      </w:pPr>
      <w:r>
        <w:rPr>
          <w:rFonts w:ascii="Times New Roman"/>
          <w:b w:val="false"/>
          <w:i w:val="false"/>
          <w:color w:val="000000"/>
          <w:sz w:val="28"/>
        </w:rPr>
        <w:t>
      наличие постоянного и достаточного дохода заемщика;</w:t>
      </w:r>
    </w:p>
    <w:bookmarkEnd w:id="23"/>
    <w:bookmarkStart w:name="z29" w:id="24"/>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24"/>
    <w:bookmarkStart w:name="z30" w:id="25"/>
    <w:p>
      <w:pPr>
        <w:spacing w:after="0"/>
        <w:ind w:left="0"/>
        <w:jc w:val="both"/>
      </w:pPr>
      <w:r>
        <w:rPr>
          <w:rFonts w:ascii="Times New Roman"/>
          <w:b w:val="false"/>
          <w:i w:val="false"/>
          <w:color w:val="000000"/>
          <w:sz w:val="28"/>
        </w:rPr>
        <w:t>
      долговая нагрузка;</w:t>
      </w:r>
    </w:p>
    <w:bookmarkEnd w:id="25"/>
    <w:bookmarkStart w:name="z31" w:id="26"/>
    <w:p>
      <w:pPr>
        <w:spacing w:after="0"/>
        <w:ind w:left="0"/>
        <w:jc w:val="both"/>
      </w:pPr>
      <w:r>
        <w:rPr>
          <w:rFonts w:ascii="Times New Roman"/>
          <w:b w:val="false"/>
          <w:i w:val="false"/>
          <w:color w:val="000000"/>
          <w:sz w:val="28"/>
        </w:rPr>
        <w:t>
      платежная дисциплина (кредитная история) по займам;</w:t>
      </w:r>
    </w:p>
    <w:bookmarkEnd w:id="26"/>
    <w:bookmarkStart w:name="z32" w:id="27"/>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27"/>
    <w:bookmarkStart w:name="z33" w:id="28"/>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28"/>
    <w:bookmarkStart w:name="z34" w:id="29"/>
    <w:p>
      <w:pPr>
        <w:spacing w:after="0"/>
        <w:ind w:left="0"/>
        <w:jc w:val="both"/>
      </w:pPr>
      <w:r>
        <w:rPr>
          <w:rFonts w:ascii="Times New Roman"/>
          <w:b w:val="false"/>
          <w:i w:val="false"/>
          <w:color w:val="000000"/>
          <w:sz w:val="28"/>
        </w:rPr>
        <w:t>
      остатки и операции по банковским счетам;</w:t>
      </w:r>
    </w:p>
    <w:bookmarkEnd w:id="29"/>
    <w:bookmarkStart w:name="z35" w:id="30"/>
    <w:p>
      <w:pPr>
        <w:spacing w:after="0"/>
        <w:ind w:left="0"/>
        <w:jc w:val="both"/>
      </w:pPr>
      <w:r>
        <w:rPr>
          <w:rFonts w:ascii="Times New Roman"/>
          <w:b w:val="false"/>
          <w:i w:val="false"/>
          <w:color w:val="000000"/>
          <w:sz w:val="28"/>
        </w:rPr>
        <w:t>
      информация об образовании и занятости;</w:t>
      </w:r>
    </w:p>
    <w:bookmarkEnd w:id="30"/>
    <w:bookmarkStart w:name="z36" w:id="31"/>
    <w:p>
      <w:pPr>
        <w:spacing w:after="0"/>
        <w:ind w:left="0"/>
        <w:jc w:val="both"/>
      </w:pPr>
      <w:r>
        <w:rPr>
          <w:rFonts w:ascii="Times New Roman"/>
          <w:b w:val="false"/>
          <w:i w:val="false"/>
          <w:color w:val="000000"/>
          <w:sz w:val="28"/>
        </w:rPr>
        <w:t>
      социально-демографические характеристики;</w:t>
      </w:r>
    </w:p>
    <w:bookmarkEnd w:id="31"/>
    <w:bookmarkStart w:name="z37" w:id="32"/>
    <w:p>
      <w:pPr>
        <w:spacing w:after="0"/>
        <w:ind w:left="0"/>
        <w:jc w:val="both"/>
      </w:pPr>
      <w:r>
        <w:rPr>
          <w:rFonts w:ascii="Times New Roman"/>
          <w:b w:val="false"/>
          <w:i w:val="false"/>
          <w:color w:val="000000"/>
          <w:sz w:val="28"/>
        </w:rPr>
        <w:t>
      информация о целевом использовании денег (при наличии).</w:t>
      </w:r>
    </w:p>
    <w:bookmarkEnd w:id="32"/>
    <w:bookmarkStart w:name="z38" w:id="33"/>
    <w:p>
      <w:pPr>
        <w:spacing w:after="0"/>
        <w:ind w:left="0"/>
        <w:jc w:val="both"/>
      </w:pPr>
      <w:r>
        <w:rPr>
          <w:rFonts w:ascii="Times New Roman"/>
          <w:b w:val="false"/>
          <w:i w:val="false"/>
          <w:color w:val="000000"/>
          <w:sz w:val="28"/>
        </w:rPr>
        <w:t>
      Банк классифицирует при заключении договора банковского займа физическое лицо (за исключением физических лиц, осуществляющих предпринимательскую деятельность без образования юридического лица), как заемщика с высоким уровнем риска, при наличии двух или более факторов:</w:t>
      </w:r>
    </w:p>
    <w:bookmarkEnd w:id="33"/>
    <w:bookmarkStart w:name="z39" w:id="34"/>
    <w:p>
      <w:pPr>
        <w:spacing w:after="0"/>
        <w:ind w:left="0"/>
        <w:jc w:val="both"/>
      </w:pPr>
      <w:r>
        <w:rPr>
          <w:rFonts w:ascii="Times New Roman"/>
          <w:b w:val="false"/>
          <w:i w:val="false"/>
          <w:color w:val="000000"/>
          <w:sz w:val="28"/>
        </w:rPr>
        <w:t xml:space="preserve">
      срок кредитной истории менее 3 (трех) лет; </w:t>
      </w:r>
    </w:p>
    <w:bookmarkEnd w:id="34"/>
    <w:bookmarkStart w:name="z40" w:id="35"/>
    <w:p>
      <w:pPr>
        <w:spacing w:after="0"/>
        <w:ind w:left="0"/>
        <w:jc w:val="both"/>
      </w:pPr>
      <w:r>
        <w:rPr>
          <w:rFonts w:ascii="Times New Roman"/>
          <w:b w:val="false"/>
          <w:i w:val="false"/>
          <w:color w:val="000000"/>
          <w:sz w:val="28"/>
        </w:rPr>
        <w:t>
      просрочка исполнения обязательства по погашению банковских займов и (или) микрокредитов составляет более 3 (трех) месячных расчетных показателей в течение 30 (тридцати) последовательных календарных дней за последние 12 (двенадцать) месяцев;</w:t>
      </w:r>
    </w:p>
    <w:bookmarkEnd w:id="35"/>
    <w:bookmarkStart w:name="z41" w:id="36"/>
    <w:p>
      <w:pPr>
        <w:spacing w:after="0"/>
        <w:ind w:left="0"/>
        <w:jc w:val="both"/>
      </w:pPr>
      <w:r>
        <w:rPr>
          <w:rFonts w:ascii="Times New Roman"/>
          <w:b w:val="false"/>
          <w:i w:val="false"/>
          <w:color w:val="000000"/>
          <w:sz w:val="28"/>
        </w:rPr>
        <w:t>
      непогашенные банковские займы и (или) микрокредиты в 3 (трех) и более финансовых организациях;</w:t>
      </w:r>
    </w:p>
    <w:bookmarkEnd w:id="36"/>
    <w:bookmarkStart w:name="z42" w:id="37"/>
    <w:p>
      <w:pPr>
        <w:spacing w:after="0"/>
        <w:ind w:left="0"/>
        <w:jc w:val="both"/>
      </w:pPr>
      <w:r>
        <w:rPr>
          <w:rFonts w:ascii="Times New Roman"/>
          <w:b w:val="false"/>
          <w:i w:val="false"/>
          <w:color w:val="000000"/>
          <w:sz w:val="28"/>
        </w:rPr>
        <w:t>
      ежемесячная совокупная сумма исполнения обязательств по погашению банковских займов и(или) микрокредитов превышает 45 (сорок пять) процентов ежемесячного постоянного дохода физического лица, рассчитанного банком;</w:t>
      </w:r>
    </w:p>
    <w:bookmarkEnd w:id="37"/>
    <w:bookmarkStart w:name="z43" w:id="38"/>
    <w:p>
      <w:pPr>
        <w:spacing w:after="0"/>
        <w:ind w:left="0"/>
        <w:jc w:val="both"/>
      </w:pPr>
      <w:r>
        <w:rPr>
          <w:rFonts w:ascii="Times New Roman"/>
          <w:b w:val="false"/>
          <w:i w:val="false"/>
          <w:color w:val="000000"/>
          <w:sz w:val="28"/>
        </w:rPr>
        <w:t>
      наличие негативной информации о субъекте кредитной истории;</w:t>
      </w:r>
    </w:p>
    <w:bookmarkEnd w:id="38"/>
    <w:bookmarkStart w:name="z44" w:id="39"/>
    <w:p>
      <w:pPr>
        <w:spacing w:after="0"/>
        <w:ind w:left="0"/>
        <w:jc w:val="both"/>
      </w:pPr>
      <w:r>
        <w:rPr>
          <w:rFonts w:ascii="Times New Roman"/>
          <w:b w:val="false"/>
          <w:i w:val="false"/>
          <w:color w:val="000000"/>
          <w:sz w:val="28"/>
        </w:rPr>
        <w:t xml:space="preserve">
      постоянный источник дохода не подтвержден в соответствии с внутренней методикой оценки постоянного источника дохода. </w:t>
      </w:r>
    </w:p>
    <w:bookmarkEnd w:id="39"/>
    <w:bookmarkStart w:name="z45" w:id="40"/>
    <w:p>
      <w:pPr>
        <w:spacing w:after="0"/>
        <w:ind w:left="0"/>
        <w:jc w:val="both"/>
      </w:pPr>
      <w:r>
        <w:rPr>
          <w:rFonts w:ascii="Times New Roman"/>
          <w:b w:val="false"/>
          <w:i w:val="false"/>
          <w:color w:val="000000"/>
          <w:sz w:val="28"/>
        </w:rPr>
        <w:t>
      В случае выдачи банком займов, предусмотренных абзацами шестым или двадцатым настоящего подпункта, банк проводит оценку вероятности дефолта до заключения договора банковского займа и с учетом предоставленного (ых) займа (ов). В случае, если вероятность дефолта по банковскому займу (займам) с учетом предоставленного (ых) займа (ов) увеличивается более чем на 5 (пять) процентных пунктов, при этом исходная вероятность дефолта превышает 5 (пять) процентов, банк обеспечивает регулярный мониторинг такого заемщика в соответствии с внутренними документами банка.</w:t>
      </w:r>
    </w:p>
    <w:bookmarkEnd w:id="40"/>
    <w:bookmarkStart w:name="z46" w:id="41"/>
    <w:p>
      <w:pPr>
        <w:spacing w:after="0"/>
        <w:ind w:left="0"/>
        <w:jc w:val="both"/>
      </w:pPr>
      <w:r>
        <w:rPr>
          <w:rFonts w:ascii="Times New Roman"/>
          <w:b w:val="false"/>
          <w:i w:val="false"/>
          <w:color w:val="000000"/>
          <w:sz w:val="28"/>
        </w:rPr>
        <w:t xml:space="preserve">
      Для заемщика, допустившего за последние 12 (двенадцать) месяцев просроченную задолженность по банковскому займу и (или) микрокредиту свыше 90 (девяноста) календарных дней, уровень коэффициента долговой нагрузки составляет половину размера максимального уровня коэффициента долговой нагрузки заемщика,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августа 2025 года № 52 "Об установлении макропруденциальных нормативов и лимитов, их нормативных значений и методики расчетов" (зарегистрировано в Реестре государственной регистрации нормативных правовых актов под № 36722).</w:t>
      </w:r>
    </w:p>
    <w:bookmarkEnd w:id="41"/>
    <w:bookmarkStart w:name="z47" w:id="42"/>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bookmarkEnd w:id="42"/>
    <w:bookmarkStart w:name="z48" w:id="43"/>
    <w:p>
      <w:pPr>
        <w:spacing w:after="0"/>
        <w:ind w:left="0"/>
        <w:jc w:val="both"/>
      </w:pPr>
      <w:r>
        <w:rPr>
          <w:rFonts w:ascii="Times New Roman"/>
          <w:b w:val="false"/>
          <w:i w:val="false"/>
          <w:color w:val="000000"/>
          <w:sz w:val="28"/>
        </w:rPr>
        <w:t>
      анализ финансовой отчетности и основных финансовых коэффициентов заемщиков-юридических лиц (рентабельность, соотношение собственных и заемных средств, план поступления денежных средств (за исключением случаев выдачи займов финансовым организациям, размещения вкладов в финансовых организациях, открытия кредитной линии сроком менее 6 (шести) месяцев), уровня доходов.</w:t>
      </w:r>
    </w:p>
    <w:bookmarkEnd w:id="43"/>
    <w:bookmarkStart w:name="z49" w:id="44"/>
    <w:p>
      <w:pPr>
        <w:spacing w:after="0"/>
        <w:ind w:left="0"/>
        <w:jc w:val="both"/>
      </w:pPr>
      <w:r>
        <w:rPr>
          <w:rFonts w:ascii="Times New Roman"/>
          <w:b w:val="false"/>
          <w:i w:val="false"/>
          <w:color w:val="000000"/>
          <w:sz w:val="28"/>
        </w:rPr>
        <w:t>
      Принимаемая для анализа финансовая отчетность заемщика (за исключением случаев финансирования в виде овердрафтов, кредитных карт, кредитных линий сроком менее 6 (шести) месяцев) совокупные обязательства которого перед банком превышают 0,2 (ноль целых две десятых) процента от собственного капитала банка, соответствует следующим требованиям:</w:t>
      </w:r>
    </w:p>
    <w:bookmarkEnd w:id="44"/>
    <w:bookmarkStart w:name="z50" w:id="45"/>
    <w:p>
      <w:pPr>
        <w:spacing w:after="0"/>
        <w:ind w:left="0"/>
        <w:jc w:val="both"/>
      </w:pPr>
      <w:r>
        <w:rPr>
          <w:rFonts w:ascii="Times New Roman"/>
          <w:b w:val="false"/>
          <w:i w:val="false"/>
          <w:color w:val="000000"/>
          <w:sz w:val="28"/>
        </w:rPr>
        <w:t>
      наличие трех основных форм отчетности с расшифровками счетов по материальным (значимым) компонентам баланса (более 5 (пяти) процентов от валюты баланса) и (или) отчета о прибылях и убытках (более 5 (пяти) процентов от выручки). Данное требование не распространяется на акционерное общество "Фонд национального благосостояния "Самрук-Қазына", акционерное общество "Национальный управляющий холдинг "Байтерек", публичные компании, имеющие долгосрочный кредитный рейтинг по международной шкале агентств Standard &amp; Poor's (Стандард энд Пурс), Moody's Investors Service (Мудис Инвесторс Сервис) или Fitch Ratings Inc. (Фич Рейтингс), юридические лица,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 а также на случаи наличия аудированной финансовой отчетности, заверенной компаниями, соответствующими листинговым требованиям фондовой биржи;</w:t>
      </w:r>
    </w:p>
    <w:bookmarkEnd w:id="45"/>
    <w:bookmarkStart w:name="z51" w:id="46"/>
    <w:p>
      <w:pPr>
        <w:spacing w:after="0"/>
        <w:ind w:left="0"/>
        <w:jc w:val="both"/>
      </w:pPr>
      <w:r>
        <w:rPr>
          <w:rFonts w:ascii="Times New Roman"/>
          <w:b w:val="false"/>
          <w:i w:val="false"/>
          <w:color w:val="000000"/>
          <w:sz w:val="28"/>
        </w:rPr>
        <w:t>
      соответствие между всеми формами финансовой отчетности;</w:t>
      </w:r>
    </w:p>
    <w:bookmarkEnd w:id="46"/>
    <w:bookmarkStart w:name="z52" w:id="47"/>
    <w:p>
      <w:pPr>
        <w:spacing w:after="0"/>
        <w:ind w:left="0"/>
        <w:jc w:val="both"/>
      </w:pPr>
      <w:r>
        <w:rPr>
          <w:rFonts w:ascii="Times New Roman"/>
          <w:b w:val="false"/>
          <w:i w:val="false"/>
          <w:color w:val="000000"/>
          <w:sz w:val="28"/>
        </w:rPr>
        <w:t>
      наличие подписей ответственных (уполномоченных) лиц заемщика под предоставленной финансовой отчетностью.</w:t>
      </w:r>
    </w:p>
    <w:bookmarkEnd w:id="47"/>
    <w:bookmarkStart w:name="z53" w:id="48"/>
    <w:p>
      <w:pPr>
        <w:spacing w:after="0"/>
        <w:ind w:left="0"/>
        <w:jc w:val="both"/>
      </w:pPr>
      <w:r>
        <w:rPr>
          <w:rFonts w:ascii="Times New Roman"/>
          <w:b w:val="false"/>
          <w:i w:val="false"/>
          <w:color w:val="000000"/>
          <w:sz w:val="28"/>
        </w:rPr>
        <w:t>
      В случае наличия аудированной финансовой отчетности, соответствующей листинговым требованиям фондовой биржи, приоритетно используется аудированная финансовая отчетность для любых целей, а также не требуется ее сверка с налоговой декларацией. Сверка с налоговой декларацией финансовой отчетности не требуется для юридических лиц,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w:t>
      </w:r>
    </w:p>
    <w:bookmarkEnd w:id="48"/>
    <w:bookmarkStart w:name="z54" w:id="49"/>
    <w:p>
      <w:pPr>
        <w:spacing w:after="0"/>
        <w:ind w:left="0"/>
        <w:jc w:val="both"/>
      </w:pPr>
      <w:r>
        <w:rPr>
          <w:rFonts w:ascii="Times New Roman"/>
          <w:b w:val="false"/>
          <w:i w:val="false"/>
          <w:color w:val="000000"/>
          <w:sz w:val="28"/>
        </w:rPr>
        <w:t xml:space="preserve">
      С 1 января 2026 года требуется наличие налоговой декларации (в случае, когда сдача налоговой декларации требуется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и отсутствие противоречия данных из налоговой декларации с данными из финансовой отчетности, используемой для оценки признаков обесценения и расчета денежных потоков в целях расчета провизий, за один и тот же период. Расхождения между показателями финансовой и налоговой отчетностей допускаются ввиду различий бухгалтерского и налогового учета. В иных случаях причины существенных расхождений данных между формами отчетности описываются в заключении ответственного подразделения банка по заемщику и рассматриваются уполномоченным коллегиальным органом банка.</w:t>
      </w:r>
    </w:p>
    <w:bookmarkEnd w:id="49"/>
    <w:bookmarkStart w:name="z55" w:id="50"/>
    <w:p>
      <w:pPr>
        <w:spacing w:after="0"/>
        <w:ind w:left="0"/>
        <w:jc w:val="both"/>
      </w:pPr>
      <w:r>
        <w:rPr>
          <w:rFonts w:ascii="Times New Roman"/>
          <w:b w:val="false"/>
          <w:i w:val="false"/>
          <w:color w:val="000000"/>
          <w:sz w:val="28"/>
        </w:rPr>
        <w:t>
      Банк устанавливает существенность расхождений во внутренних документах. В случае отсутствия установленных порогов существенными расхождениями являются (но не ограничиваясь) расхождения в размере более 30 (тридцати) процентов по показателям выручки, итогового финансового результата, рентабельности активов.</w:t>
      </w:r>
    </w:p>
    <w:bookmarkEnd w:id="50"/>
    <w:bookmarkStart w:name="z56" w:id="51"/>
    <w:p>
      <w:pPr>
        <w:spacing w:after="0"/>
        <w:ind w:left="0"/>
        <w:jc w:val="both"/>
      </w:pPr>
      <w:r>
        <w:rPr>
          <w:rFonts w:ascii="Times New Roman"/>
          <w:b w:val="false"/>
          <w:i w:val="false"/>
          <w:color w:val="000000"/>
          <w:sz w:val="28"/>
        </w:rPr>
        <w:t>
      В случае объективности финансовой отчетности банк использует финансовую отчетность в целях оценки признаков обесценения и расчета денежных потоков в целях расчета провизий.</w:t>
      </w:r>
    </w:p>
    <w:bookmarkEnd w:id="51"/>
    <w:bookmarkStart w:name="z57" w:id="52"/>
    <w:p>
      <w:pPr>
        <w:spacing w:after="0"/>
        <w:ind w:left="0"/>
        <w:jc w:val="both"/>
      </w:pPr>
      <w:r>
        <w:rPr>
          <w:rFonts w:ascii="Times New Roman"/>
          <w:b w:val="false"/>
          <w:i w:val="false"/>
          <w:color w:val="000000"/>
          <w:sz w:val="28"/>
        </w:rPr>
        <w:t xml:space="preserve">
      В случае отсутствия финансовой отчетности и (или) налоговой декларации (в случае, когда их сдача не требуется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и </w:t>
      </w:r>
      <w:r>
        <w:rPr>
          <w:rFonts w:ascii="Times New Roman"/>
          <w:b w:val="false"/>
          <w:i w:val="false"/>
          <w:color w:val="000000"/>
          <w:sz w:val="28"/>
        </w:rPr>
        <w:t>Законом</w:t>
      </w:r>
      <w:r>
        <w:rPr>
          <w:rFonts w:ascii="Times New Roman"/>
          <w:b w:val="false"/>
          <w:i w:val="false"/>
          <w:color w:val="000000"/>
          <w:sz w:val="28"/>
        </w:rPr>
        <w:t xml:space="preserve"> о бухгалтерском учете и финансовой отчетности) запрашивается информация об активах заемщика и иных источниках дохода (выписки по банковским счетам, подтверждение наличия в собственности соответствующих активов).</w:t>
      </w:r>
    </w:p>
    <w:bookmarkEnd w:id="52"/>
    <w:bookmarkStart w:name="z58" w:id="53"/>
    <w:p>
      <w:pPr>
        <w:spacing w:after="0"/>
        <w:ind w:left="0"/>
        <w:jc w:val="both"/>
      </w:pPr>
      <w:r>
        <w:rPr>
          <w:rFonts w:ascii="Times New Roman"/>
          <w:b w:val="false"/>
          <w:i w:val="false"/>
          <w:color w:val="000000"/>
          <w:sz w:val="28"/>
        </w:rPr>
        <w:t>
      В рамках оценки признаков обесценения и категорий обесценения допускается использование финансовой отчетности заемщиков, созаемщиков, гарантов и поручителей в консолидированном виде.</w:t>
      </w:r>
    </w:p>
    <w:bookmarkEnd w:id="53"/>
    <w:bookmarkStart w:name="z59" w:id="54"/>
    <w:p>
      <w:pPr>
        <w:spacing w:after="0"/>
        <w:ind w:left="0"/>
        <w:jc w:val="both"/>
      </w:pPr>
      <w:r>
        <w:rPr>
          <w:rFonts w:ascii="Times New Roman"/>
          <w:b w:val="false"/>
          <w:i w:val="false"/>
          <w:color w:val="000000"/>
          <w:sz w:val="28"/>
        </w:rPr>
        <w:t>
      В целях расчета ожидаемых денежных потоков по займу допускается консолидация финансовой отчетности заемщика (в том числе со стороны банка) с отчетностью лиц (в том числе связанных с заемщиком), имеющих договорные обязательства с заемщиком по погашению его задолженности в случае наступления его неплатежеспособности, а также с отчетностью лиц, не имеющих таких договорных обязательств с заемщиком, если активы данного лица выступают обеспечением по обязательствам заемщика.</w:t>
      </w:r>
    </w:p>
    <w:bookmarkEnd w:id="54"/>
    <w:bookmarkStart w:name="z60" w:id="55"/>
    <w:p>
      <w:pPr>
        <w:spacing w:after="0"/>
        <w:ind w:left="0"/>
        <w:jc w:val="both"/>
      </w:pPr>
      <w:r>
        <w:rPr>
          <w:rFonts w:ascii="Times New Roman"/>
          <w:b w:val="false"/>
          <w:i w:val="false"/>
          <w:color w:val="000000"/>
          <w:sz w:val="28"/>
        </w:rPr>
        <w:t>
      В случае выдачи банком займа без соблюдения требований, установленных абзацами сорок вторым, сорок третьим, сорок четвертым, сорок пятым, сорок седьмым, сорок восьмым, пятидесятым, пятьдесят первым и пятьдесят вторым настоящего подпункта, все обязательства заемщика относятся к обесцененным активам по международным стандартам финансовой отчетности (далее – МСФО);</w:t>
      </w:r>
    </w:p>
    <w:bookmarkEnd w:id="55"/>
    <w:bookmarkStart w:name="z61" w:id="56"/>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56"/>
    <w:bookmarkStart w:name="z62" w:id="57"/>
    <w:p>
      <w:pPr>
        <w:spacing w:after="0"/>
        <w:ind w:left="0"/>
        <w:jc w:val="both"/>
      </w:pPr>
      <w:r>
        <w:rPr>
          <w:rFonts w:ascii="Times New Roman"/>
          <w:b w:val="false"/>
          <w:i w:val="false"/>
          <w:color w:val="000000"/>
          <w:sz w:val="28"/>
        </w:rPr>
        <w:t>
      платежная дисциплина (кредитная история) по займам;</w:t>
      </w:r>
    </w:p>
    <w:bookmarkEnd w:id="57"/>
    <w:bookmarkStart w:name="z63" w:id="58"/>
    <w:p>
      <w:pPr>
        <w:spacing w:after="0"/>
        <w:ind w:left="0"/>
        <w:jc w:val="both"/>
      </w:pPr>
      <w:r>
        <w:rPr>
          <w:rFonts w:ascii="Times New Roman"/>
          <w:b w:val="false"/>
          <w:i w:val="false"/>
          <w:color w:val="000000"/>
          <w:sz w:val="28"/>
        </w:rPr>
        <w:t>
      уровень ликвидных активов;</w:t>
      </w:r>
    </w:p>
    <w:bookmarkEnd w:id="58"/>
    <w:bookmarkStart w:name="z64" w:id="59"/>
    <w:p>
      <w:pPr>
        <w:spacing w:after="0"/>
        <w:ind w:left="0"/>
        <w:jc w:val="both"/>
      </w:pPr>
      <w:r>
        <w:rPr>
          <w:rFonts w:ascii="Times New Roman"/>
          <w:b w:val="false"/>
          <w:i w:val="false"/>
          <w:color w:val="000000"/>
          <w:sz w:val="28"/>
        </w:rPr>
        <w:t>
      долговая нагрузка;</w:t>
      </w:r>
    </w:p>
    <w:bookmarkEnd w:id="59"/>
    <w:bookmarkStart w:name="z65" w:id="60"/>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60"/>
    <w:bookmarkStart w:name="z66" w:id="61"/>
    <w:p>
      <w:pPr>
        <w:spacing w:after="0"/>
        <w:ind w:left="0"/>
        <w:jc w:val="both"/>
      </w:pPr>
      <w:r>
        <w:rPr>
          <w:rFonts w:ascii="Times New Roman"/>
          <w:b w:val="false"/>
          <w:i w:val="false"/>
          <w:color w:val="000000"/>
          <w:sz w:val="28"/>
        </w:rPr>
        <w:t>
      прогнозные свободные денежные потоки;</w:t>
      </w:r>
    </w:p>
    <w:bookmarkEnd w:id="61"/>
    <w:bookmarkStart w:name="z67" w:id="62"/>
    <w:p>
      <w:pPr>
        <w:spacing w:after="0"/>
        <w:ind w:left="0"/>
        <w:jc w:val="both"/>
      </w:pPr>
      <w:r>
        <w:rPr>
          <w:rFonts w:ascii="Times New Roman"/>
          <w:b w:val="false"/>
          <w:i w:val="false"/>
          <w:color w:val="000000"/>
          <w:sz w:val="28"/>
        </w:rPr>
        <w:t>
      оценка внешней среды заемщика (состояние экономики, отрасли, перспективы развития, диверсификация производства и рынков сбыта, и характеристики операционной деятельности заемщика, такие как рыночная доля заемщика на соответствующем рынке, позиционирование продукта заемщика, география операций, цикличность бизнеса, изменения в предпочтениях потребителей, изменение в технологии, барьеры вхождения в сектор экономики и другие факторы, влияющие на возможность компании получать доход и поддерживать цены);</w:t>
      </w:r>
    </w:p>
    <w:bookmarkEnd w:id="62"/>
    <w:bookmarkStart w:name="z68" w:id="63"/>
    <w:p>
      <w:pPr>
        <w:spacing w:after="0"/>
        <w:ind w:left="0"/>
        <w:jc w:val="both"/>
      </w:pPr>
      <w:r>
        <w:rPr>
          <w:rFonts w:ascii="Times New Roman"/>
          <w:b w:val="false"/>
          <w:i w:val="false"/>
          <w:color w:val="000000"/>
          <w:sz w:val="28"/>
        </w:rPr>
        <w:t>
      оценка качества управления (опыт, компетентность, деловая репутация);</w:t>
      </w:r>
    </w:p>
    <w:bookmarkEnd w:id="63"/>
    <w:bookmarkStart w:name="z69" w:id="64"/>
    <w:p>
      <w:pPr>
        <w:spacing w:after="0"/>
        <w:ind w:left="0"/>
        <w:jc w:val="both"/>
      </w:pPr>
      <w:r>
        <w:rPr>
          <w:rFonts w:ascii="Times New Roman"/>
          <w:b w:val="false"/>
          <w:i w:val="false"/>
          <w:color w:val="000000"/>
          <w:sz w:val="28"/>
        </w:rPr>
        <w:t>
      оценка собственников заемщика;</w:t>
      </w:r>
    </w:p>
    <w:bookmarkEnd w:id="64"/>
    <w:bookmarkStart w:name="z70" w:id="65"/>
    <w:p>
      <w:pPr>
        <w:spacing w:after="0"/>
        <w:ind w:left="0"/>
        <w:jc w:val="both"/>
      </w:pPr>
      <w:r>
        <w:rPr>
          <w:rFonts w:ascii="Times New Roman"/>
          <w:b w:val="false"/>
          <w:i w:val="false"/>
          <w:color w:val="000000"/>
          <w:sz w:val="28"/>
        </w:rPr>
        <w:t>
      наличие фактов вовлеченности в судебные разбирательства;</w:t>
      </w:r>
    </w:p>
    <w:bookmarkEnd w:id="65"/>
    <w:bookmarkStart w:name="z71" w:id="66"/>
    <w:p>
      <w:pPr>
        <w:spacing w:after="0"/>
        <w:ind w:left="0"/>
        <w:jc w:val="both"/>
      </w:pPr>
      <w:r>
        <w:rPr>
          <w:rFonts w:ascii="Times New Roman"/>
          <w:b w:val="false"/>
          <w:i w:val="false"/>
          <w:color w:val="000000"/>
          <w:sz w:val="28"/>
        </w:rPr>
        <w:t>
      включение в список неблагонадежных налогоплательщиков.</w:t>
      </w:r>
    </w:p>
    <w:bookmarkEnd w:id="66"/>
    <w:bookmarkStart w:name="z72" w:id="67"/>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не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bookmarkEnd w:id="67"/>
    <w:bookmarkStart w:name="z73" w:id="68"/>
    <w:p>
      <w:pPr>
        <w:spacing w:after="0"/>
        <w:ind w:left="0"/>
        <w:jc w:val="both"/>
      </w:pPr>
      <w:r>
        <w:rPr>
          <w:rFonts w:ascii="Times New Roman"/>
          <w:b w:val="false"/>
          <w:i w:val="false"/>
          <w:color w:val="000000"/>
          <w:sz w:val="28"/>
        </w:rPr>
        <w:t>
      наличие постоянного и достаточного дохода заемщика;</w:t>
      </w:r>
    </w:p>
    <w:bookmarkEnd w:id="68"/>
    <w:bookmarkStart w:name="z74" w:id="69"/>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69"/>
    <w:bookmarkStart w:name="z75" w:id="70"/>
    <w:p>
      <w:pPr>
        <w:spacing w:after="0"/>
        <w:ind w:left="0"/>
        <w:jc w:val="both"/>
      </w:pPr>
      <w:r>
        <w:rPr>
          <w:rFonts w:ascii="Times New Roman"/>
          <w:b w:val="false"/>
          <w:i w:val="false"/>
          <w:color w:val="000000"/>
          <w:sz w:val="28"/>
        </w:rPr>
        <w:t>
      платежная дисциплина (кредитная история) по займам;</w:t>
      </w:r>
    </w:p>
    <w:bookmarkEnd w:id="70"/>
    <w:bookmarkStart w:name="z76" w:id="71"/>
    <w:p>
      <w:pPr>
        <w:spacing w:after="0"/>
        <w:ind w:left="0"/>
        <w:jc w:val="both"/>
      </w:pPr>
      <w:r>
        <w:rPr>
          <w:rFonts w:ascii="Times New Roman"/>
          <w:b w:val="false"/>
          <w:i w:val="false"/>
          <w:color w:val="000000"/>
          <w:sz w:val="28"/>
        </w:rPr>
        <w:t>
      долговая нагрузка;</w:t>
      </w:r>
    </w:p>
    <w:bookmarkEnd w:id="71"/>
    <w:bookmarkStart w:name="z77" w:id="72"/>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72"/>
    <w:bookmarkStart w:name="z78" w:id="73"/>
    <w:p>
      <w:pPr>
        <w:spacing w:after="0"/>
        <w:ind w:left="0"/>
        <w:jc w:val="both"/>
      </w:pPr>
      <w:r>
        <w:rPr>
          <w:rFonts w:ascii="Times New Roman"/>
          <w:b w:val="false"/>
          <w:i w:val="false"/>
          <w:color w:val="000000"/>
          <w:sz w:val="28"/>
        </w:rPr>
        <w:t>
      перспективы развития соответствующей отрасли.</w:t>
      </w:r>
    </w:p>
    <w:bookmarkEnd w:id="73"/>
    <w:bookmarkStart w:name="z79" w:id="74"/>
    <w:p>
      <w:pPr>
        <w:spacing w:after="0"/>
        <w:ind w:left="0"/>
        <w:jc w:val="both"/>
      </w:pPr>
      <w:r>
        <w:rPr>
          <w:rFonts w:ascii="Times New Roman"/>
          <w:b w:val="false"/>
          <w:i w:val="false"/>
          <w:color w:val="000000"/>
          <w:sz w:val="28"/>
        </w:rPr>
        <w:t>
      В зависимости от отрасли кредитования и типа заемщика набор количественных и качественных показателей меняется.</w:t>
      </w:r>
    </w:p>
    <w:bookmarkEnd w:id="74"/>
    <w:bookmarkStart w:name="z80" w:id="75"/>
    <w:p>
      <w:pPr>
        <w:spacing w:after="0"/>
        <w:ind w:left="0"/>
        <w:jc w:val="both"/>
      </w:pPr>
      <w:r>
        <w:rPr>
          <w:rFonts w:ascii="Times New Roman"/>
          <w:b w:val="false"/>
          <w:i w:val="false"/>
          <w:color w:val="000000"/>
          <w:sz w:val="28"/>
        </w:rPr>
        <w:t>
      В отношении физических и юридических лиц кредитная политика определяет случаи (выдача банковских гарантий, аккредитивов, банковских гарантий, выпущенных под банковскую контргарантию, а также займов, обеспеченных высоколиквидными активами), при которых не применяется анализ кредитоспособности заемщика. Для банков, являющихся дочерними организациями банков-нерезидентов Республики Казахстан, имеющих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 допускается использование анализа кредитоспособности на уровне родительской организации заемщика или организации, включающей заемщика в консолидированную финансовую отчетность, проведенного родительским банком или аффилированным по отношению к банку лицом, при условии, что анализ осуществлен не позднее 12 (двенадцати) месяцев c даты обращения заемщика;</w:t>
      </w:r>
    </w:p>
    <w:bookmarkEnd w:id="75"/>
    <w:bookmarkStart w:name="z81" w:id="76"/>
    <w:p>
      <w:pPr>
        <w:spacing w:after="0"/>
        <w:ind w:left="0"/>
        <w:jc w:val="both"/>
      </w:pPr>
      <w:r>
        <w:rPr>
          <w:rFonts w:ascii="Times New Roman"/>
          <w:b w:val="false"/>
          <w:i w:val="false"/>
          <w:color w:val="000000"/>
          <w:sz w:val="28"/>
        </w:rPr>
        <w:t xml:space="preserve">
      внутренний порядок принятия кредитных решений в отношении реструктуризации займов, который основан на принципах обоснованности, целесообразности и независимости, и включает описание случаев и условий реструктуризации займов. Банк определяет случаи и виды реструктуризации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(далее – Постановление № 269).</w:t>
      </w:r>
    </w:p>
    <w:bookmarkEnd w:id="76"/>
    <w:bookmarkStart w:name="z82" w:id="77"/>
    <w:p>
      <w:pPr>
        <w:spacing w:after="0"/>
        <w:ind w:left="0"/>
        <w:jc w:val="both"/>
      </w:pPr>
      <w:r>
        <w:rPr>
          <w:rFonts w:ascii="Times New Roman"/>
          <w:b w:val="false"/>
          <w:i w:val="false"/>
          <w:color w:val="000000"/>
          <w:sz w:val="28"/>
        </w:rPr>
        <w:t>
      Банк принимает решение о реструктуризации займов по заемщикам с учетом наличия перспектив погашения займа после реструктуризации.</w:t>
      </w:r>
    </w:p>
    <w:bookmarkEnd w:id="77"/>
    <w:bookmarkStart w:name="z83" w:id="78"/>
    <w:p>
      <w:pPr>
        <w:spacing w:after="0"/>
        <w:ind w:left="0"/>
        <w:jc w:val="both"/>
      </w:pPr>
      <w:r>
        <w:rPr>
          <w:rFonts w:ascii="Times New Roman"/>
          <w:b w:val="false"/>
          <w:i w:val="false"/>
          <w:color w:val="000000"/>
          <w:sz w:val="28"/>
        </w:rPr>
        <w:t xml:space="preserve">
      Решение о проведении вынужденной реструктуризации займов, определяемой в соответствии с требованиями </w:t>
      </w:r>
      <w:r>
        <w:rPr>
          <w:rFonts w:ascii="Times New Roman"/>
          <w:b w:val="false"/>
          <w:i w:val="false"/>
          <w:color w:val="000000"/>
          <w:sz w:val="28"/>
        </w:rPr>
        <w:t>Постановления № 269</w:t>
      </w:r>
      <w:r>
        <w:rPr>
          <w:rFonts w:ascii="Times New Roman"/>
          <w:b w:val="false"/>
          <w:i w:val="false"/>
          <w:color w:val="000000"/>
          <w:sz w:val="28"/>
        </w:rPr>
        <w:t>, (по заемщикам и (или) группе взаимосвязанных заемщиков, общая задолженность, включая условные обязательства, которых превышает 1 (один) процент от собственного капитала банка, размер которого выше 100 (ста) миллиардов тенге, или 2 (два) процента от собственного капитала банка, размер которого до 100 (ста) миллиардов тенге) принимается правлением банка или уполномоченным коллегиальным органом банка, в состав которого входит председатель правления банка. Информация о принятых решениях на ежеквартальной основе направляется членам совета директоров банка;</w:t>
      </w:r>
    </w:p>
    <w:bookmarkEnd w:id="78"/>
    <w:bookmarkStart w:name="z84" w:id="79"/>
    <w:p>
      <w:pPr>
        <w:spacing w:after="0"/>
        <w:ind w:left="0"/>
        <w:jc w:val="both"/>
      </w:pPr>
      <w:r>
        <w:rPr>
          <w:rFonts w:ascii="Times New Roman"/>
          <w:b w:val="false"/>
          <w:i w:val="false"/>
          <w:color w:val="000000"/>
          <w:sz w:val="28"/>
        </w:rPr>
        <w:t>
      приемлемые методы управления кредитным риском, учитывающие (но, не ограничиваясь ими) следующие факторы:</w:t>
      </w:r>
    </w:p>
    <w:bookmarkEnd w:id="79"/>
    <w:bookmarkStart w:name="z85" w:id="80"/>
    <w:p>
      <w:pPr>
        <w:spacing w:after="0"/>
        <w:ind w:left="0"/>
        <w:jc w:val="both"/>
      </w:pPr>
      <w:r>
        <w:rPr>
          <w:rFonts w:ascii="Times New Roman"/>
          <w:b w:val="false"/>
          <w:i w:val="false"/>
          <w:color w:val="000000"/>
          <w:sz w:val="28"/>
        </w:rPr>
        <w:t>
      собственные знания и опыт в использовании метода;</w:t>
      </w:r>
    </w:p>
    <w:bookmarkEnd w:id="80"/>
    <w:bookmarkStart w:name="z86" w:id="81"/>
    <w:p>
      <w:pPr>
        <w:spacing w:after="0"/>
        <w:ind w:left="0"/>
        <w:jc w:val="both"/>
      </w:pPr>
      <w:r>
        <w:rPr>
          <w:rFonts w:ascii="Times New Roman"/>
          <w:b w:val="false"/>
          <w:i w:val="false"/>
          <w:color w:val="000000"/>
          <w:sz w:val="28"/>
        </w:rPr>
        <w:t>
      экономическую эффективность;</w:t>
      </w:r>
    </w:p>
    <w:bookmarkEnd w:id="81"/>
    <w:bookmarkStart w:name="z87" w:id="82"/>
    <w:p>
      <w:pPr>
        <w:spacing w:after="0"/>
        <w:ind w:left="0"/>
        <w:jc w:val="both"/>
      </w:pPr>
      <w:r>
        <w:rPr>
          <w:rFonts w:ascii="Times New Roman"/>
          <w:b w:val="false"/>
          <w:i w:val="false"/>
          <w:color w:val="000000"/>
          <w:sz w:val="28"/>
        </w:rPr>
        <w:t>
      тип заемщика и (или) контрагентов, их финансовое состояние;";</w:t>
      </w:r>
    </w:p>
    <w:bookmarkEnd w:id="82"/>
    <w:bookmarkStart w:name="z88" w:id="83"/>
    <w:p>
      <w:pPr>
        <w:spacing w:after="0"/>
        <w:ind w:left="0"/>
        <w:jc w:val="both"/>
      </w:pPr>
      <w:r>
        <w:rPr>
          <w:rFonts w:ascii="Times New Roman"/>
          <w:b w:val="false"/>
          <w:i w:val="false"/>
          <w:color w:val="000000"/>
          <w:sz w:val="28"/>
        </w:rPr>
        <w:t>
      дополнить пунктом 42-3 следующего содержания:</w:t>
      </w:r>
    </w:p>
    <w:bookmarkEnd w:id="83"/>
    <w:bookmarkStart w:name="z89" w:id="84"/>
    <w:p>
      <w:pPr>
        <w:spacing w:after="0"/>
        <w:ind w:left="0"/>
        <w:jc w:val="both"/>
      </w:pPr>
      <w:r>
        <w:rPr>
          <w:rFonts w:ascii="Times New Roman"/>
          <w:b w:val="false"/>
          <w:i w:val="false"/>
          <w:color w:val="000000"/>
          <w:sz w:val="28"/>
        </w:rPr>
        <w:t>
      "42-3. Банк не принимает положительные решения о (об) выдаче заемщику займа, в том числе займа (части займа) в рамках открытой заемщику кредитной линии, открытии кредитной линии заемщику (установлении кредитного лимита), выдаче дополнительного займа в рамках заключенного (заключенных) договора (договоров) банковского займа, изменении условий открытой кредитной линии и (или) займа заемщика, влекущем увеличение размера периодических платежей по данному займу, согласно графику погашения займа, в случае если:</w:t>
      </w:r>
    </w:p>
    <w:bookmarkEnd w:id="84"/>
    <w:bookmarkStart w:name="z90" w:id="85"/>
    <w:p>
      <w:pPr>
        <w:spacing w:after="0"/>
        <w:ind w:left="0"/>
        <w:jc w:val="both"/>
      </w:pPr>
      <w:r>
        <w:rPr>
          <w:rFonts w:ascii="Times New Roman"/>
          <w:b w:val="false"/>
          <w:i w:val="false"/>
          <w:color w:val="000000"/>
          <w:sz w:val="28"/>
        </w:rPr>
        <w:t xml:space="preserve">
      заемщик имеет просроченную задолженность по основному долгу и (или) вознаграждению свыше 30 (тридцати) календарных дней по банковским займам и (или) свыше 1 (одного) дня по микрокредитам, выданным микрофинансовыми организациями и кредитными товариществами, </w:t>
      </w:r>
    </w:p>
    <w:bookmarkEnd w:id="85"/>
    <w:bookmarkStart w:name="z91" w:id="86"/>
    <w:p>
      <w:pPr>
        <w:spacing w:after="0"/>
        <w:ind w:left="0"/>
        <w:jc w:val="both"/>
      </w:pPr>
      <w:r>
        <w:rPr>
          <w:rFonts w:ascii="Times New Roman"/>
          <w:b w:val="false"/>
          <w:i w:val="false"/>
          <w:color w:val="000000"/>
          <w:sz w:val="28"/>
        </w:rPr>
        <w:t>
      заемщик имеет полностью прощенную задолженность по основному долгу и (или) вознаграждению по банковскому займу и (или) микрокредиту за последние 36 (тридцать шесть) месяцев,</w:t>
      </w:r>
    </w:p>
    <w:bookmarkEnd w:id="86"/>
    <w:bookmarkStart w:name="z92" w:id="87"/>
    <w:p>
      <w:pPr>
        <w:spacing w:after="0"/>
        <w:ind w:left="0"/>
        <w:jc w:val="both"/>
      </w:pPr>
      <w:r>
        <w:rPr>
          <w:rFonts w:ascii="Times New Roman"/>
          <w:b w:val="false"/>
          <w:i w:val="false"/>
          <w:color w:val="000000"/>
          <w:sz w:val="28"/>
        </w:rPr>
        <w:t>
      по одному или нескольким банковским займам или микрокредитам заемщика за последние 12 (двенадцать) месяцев была проведена реструктуризация, не способствовавшая надлежащему исполнению заемщиком своих обязательств.</w:t>
      </w:r>
    </w:p>
    <w:bookmarkEnd w:id="87"/>
    <w:bookmarkStart w:name="z93" w:id="88"/>
    <w:p>
      <w:pPr>
        <w:spacing w:after="0"/>
        <w:ind w:left="0"/>
        <w:jc w:val="both"/>
      </w:pPr>
      <w:r>
        <w:rPr>
          <w:rFonts w:ascii="Times New Roman"/>
          <w:b w:val="false"/>
          <w:i w:val="false"/>
          <w:color w:val="000000"/>
          <w:sz w:val="28"/>
        </w:rPr>
        <w:t>
      Для целей абзаца третьего настоящего пункта учитывается полностью прощенная с 1 июля 2025 года задолженность по основному долгу и (или) вознаграждению по банковскому займу и (или) микрокредиту, которая определяется банком на основании кредитного отчета заемщика, полученного в кредитном бюро.</w:t>
      </w:r>
    </w:p>
    <w:bookmarkEnd w:id="88"/>
    <w:bookmarkStart w:name="z94" w:id="89"/>
    <w:p>
      <w:pPr>
        <w:spacing w:after="0"/>
        <w:ind w:left="0"/>
        <w:jc w:val="both"/>
      </w:pPr>
      <w:r>
        <w:rPr>
          <w:rFonts w:ascii="Times New Roman"/>
          <w:b w:val="false"/>
          <w:i w:val="false"/>
          <w:color w:val="000000"/>
          <w:sz w:val="28"/>
        </w:rPr>
        <w:t>
      Для целей абзаца четвертого настоящего пункта учитывается реструктуризация, не способствовавшая надлежащему исполнению заемщиком обязательств банковского займа или микрокредита, проведенная с 1 июля 2025 года. Критериями реструктуризации, не способствовавшей надлежащему исполнению заемщиком обязательств, являются соответствие одного или нескольких ранее заключенных договоров банковского займа или микрокредита одному или нескольким следующим условиям:</w:t>
      </w:r>
    </w:p>
    <w:bookmarkEnd w:id="89"/>
    <w:bookmarkStart w:name="z95" w:id="90"/>
    <w:p>
      <w:pPr>
        <w:spacing w:after="0"/>
        <w:ind w:left="0"/>
        <w:jc w:val="both"/>
      </w:pPr>
      <w:r>
        <w:rPr>
          <w:rFonts w:ascii="Times New Roman"/>
          <w:b w:val="false"/>
          <w:i w:val="false"/>
          <w:color w:val="000000"/>
          <w:sz w:val="28"/>
        </w:rPr>
        <w:t>
      1) сумма задолженности по основному долгу и вознаграждению по договору банковского займа или микрокредита не уменьшилась на 5 (пять) и более процентов в течение 6 (шести) последующих месяцев с момента реструктуризации;</w:t>
      </w:r>
    </w:p>
    <w:bookmarkEnd w:id="90"/>
    <w:bookmarkStart w:name="z96" w:id="91"/>
    <w:p>
      <w:pPr>
        <w:spacing w:after="0"/>
        <w:ind w:left="0"/>
        <w:jc w:val="both"/>
      </w:pPr>
      <w:r>
        <w:rPr>
          <w:rFonts w:ascii="Times New Roman"/>
          <w:b w:val="false"/>
          <w:i w:val="false"/>
          <w:color w:val="000000"/>
          <w:sz w:val="28"/>
        </w:rPr>
        <w:t>
      2) имеется просроченная задолженность по банковскому займу или микрокредиту и проведено 2 (две) и более реструктуризаций за последние 12 (двенадцать) месяцев;</w:t>
      </w:r>
    </w:p>
    <w:bookmarkEnd w:id="91"/>
    <w:bookmarkStart w:name="z97" w:id="92"/>
    <w:p>
      <w:pPr>
        <w:spacing w:after="0"/>
        <w:ind w:left="0"/>
        <w:jc w:val="both"/>
      </w:pPr>
      <w:r>
        <w:rPr>
          <w:rFonts w:ascii="Times New Roman"/>
          <w:b w:val="false"/>
          <w:i w:val="false"/>
          <w:color w:val="000000"/>
          <w:sz w:val="28"/>
        </w:rPr>
        <w:t>
      3) отношение вознаграждения к основному долгу по реструктурированному банковскому займу превышает 20 (двадцать) процентов;</w:t>
      </w:r>
    </w:p>
    <w:bookmarkEnd w:id="92"/>
    <w:bookmarkStart w:name="z98" w:id="93"/>
    <w:p>
      <w:pPr>
        <w:spacing w:after="0"/>
        <w:ind w:left="0"/>
        <w:jc w:val="both"/>
      </w:pPr>
      <w:r>
        <w:rPr>
          <w:rFonts w:ascii="Times New Roman"/>
          <w:b w:val="false"/>
          <w:i w:val="false"/>
          <w:color w:val="000000"/>
          <w:sz w:val="28"/>
        </w:rPr>
        <w:t>
      4) проведено внутреннее или внешнее рефинансирование просроченной задолженности по банковскому займу или микрокредиту путем выдачи нового банковского займа или микрокредита, который покрывает просроченную задолженность по основному долгу и вознаграждению.".</w:t>
      </w:r>
    </w:p>
    <w:bookmarkEnd w:id="93"/>
    <w:bookmarkStart w:name="z99" w:id="94"/>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94"/>
    <w:bookmarkStart w:name="z100" w:id="95"/>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95"/>
    <w:bookmarkStart w:name="z101" w:id="9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96"/>
    <w:bookmarkStart w:name="z102" w:id="9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97"/>
    <w:bookmarkStart w:name="z103" w:id="98"/>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8"/>
    <w:bookmarkStart w:name="z104" w:id="9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