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6e66" w14:textId="dc46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формы представления участником Международного финансового центра "Астана", имеющим лицензию на осуществление деятельности по управлению заемной краудфандинговой платформой, в орган государственных доходов сведений о заключенных договорах на краудфандинговых платформах, а также выплаченных вознаграждениях резидентам и нерезидентам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31 октября 2025 года № 652. Зарегистрирован в Министерстве юстиции Республики Казахстан 31 октября 2025 года № 37304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29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участником Международного финансового центра "Астана", имеющим лицензию на осуществление деятельности по управлению заемной краудфандинговой платформой, в орган государственных доходов сведений о заключенных договорах на краудфандинговых платформах, а также выплаченных вознаграждениях резидентам и нерезидентам,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заключенных договорах на краудфандинговых платформах, а также выплаченных вознаграждениях резидентам и нерезидентам,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по 31 декабря 2025 года включительно.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участником Международного финансового центра "Астана", имеющим лицензию на осуществление деятельности по управлению заемной краудфандинговой платформой, в орган государственных доходов сведений о заключенных договорах на краудфандинговых платформах, а также выплаченных вознаграждениях резидентам и нерезидентам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участником Международного финансового центра "Астана", имеющим лицензию на осуществление деятельности по управлению заемной краудфандинговой платформой, в орган государственных доходов сведений о заключенных договорах на краудфандинговых платформах, а также выплаченных вознаграждениях резидентам и нерезидентам (далее – Правила), разработаны в соответствии с пунктом 29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участником Международного финансового центра "Астана", имеющим лицензию на осуществление деятельности по управлению заемной краудфандинговой платформой, сведений о заключенных договорах на краудфандинговых платформах, а также выплаченных вознаграждениях резидентам и нерезидентам (далее – сведения) в орган государственных доходов.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участником Международного финансового центра "Астана", имеющим лицензию на осуществление деятельности по управлению заемной краудфандинговой платформой в орган государственных доходов сведений о заключенных договорах на краудфандинговых платформах, а также выплаченных вознаграждениях резидентам и нерезидентам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в органы государственных доходов участником Международного финансового центра "Астана", имеющим лицензию на осуществление деятельности по управлению заемной краудфандинговой платформой ежегодно не позднее 25 ноября, следующего за отчетным годом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аннулирования лицензии участник Международного финансового центра "Астана", имеющим лицензию на осуществление деятельности по управлению заемной краудфандинговой платформой обязан в течение 10 календарных дней представить итоговые сведения за неполный отчетный период. При ликвидации участника или передаче портфеля займов другому оператору сведения представляются правопреемником в порядке, установленном настоящими Правилами.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представляются в орган государственных доходов участником Международного финансового центра "Астана", имеющим лицензию на осуществление деятельности по управлению заемной краудфандинговой платформой, из автоматизированной информационной системы Международного финансового центра "Астана" в информационную систему "Smart Data Finance" Комитета государственных доходов Министерства финансов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нарушения сроков представления либо предоставления недостоверных сведений применяются меры ответственности,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а также иными нормативными правовыми актами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Обработка персональных данных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заключенных договорах на краудфандинговых платформах, а также выплаченных вознаграждениях резидентам и нерезидентам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https://www.gov.kz/memleket/entities/minfin.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заключенных договорах на краудфандинговых платформах, а также выплаченных вознаграждениях резидентам и нерезидентам.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 – СЗДКП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участник Международного финансового центра "Астана", имеющий лицензию на осуществление деятельности по управлению заемной краудфандинговой платформой.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25 числа второго месяца, следующего за отчетным годом.</w:t>
      </w:r>
    </w:p>
    <w:bookmarkEnd w:id="27"/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заключенных договорах на краудфандинговых платформах, а также выплаченных вознаграждениях резидентам и нерезидентам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 (резидент/нерезидент)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краудфандинговой платформы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(если оно указано в документе, удостоверяющем личность)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предоставлении кредита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предоставленного кредита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основного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вознаграждения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кредита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о заключенных договорах на краудфандинговых платформах, а также выплаченных вознаграждениях резидентам и нерезидентам" приведено в приложении к настоящей форме.</w:t>
      </w:r>
    </w:p>
    <w:bookmarkEnd w:id="33"/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договорах на краудфандинговых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платформах, а также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вознаграждениях 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нерезидентам"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</w:t>
      </w:r>
      <w:r>
        <w:br/>
      </w:r>
      <w:r>
        <w:rPr>
          <w:rFonts w:ascii="Times New Roman"/>
          <w:b/>
          <w:i w:val="false"/>
          <w:color w:val="000000"/>
        </w:rPr>
        <w:t>для сбора административных данных на безвозмездной основе "Сведения</w:t>
      </w:r>
      <w:r>
        <w:br/>
      </w:r>
      <w:r>
        <w:rPr>
          <w:rFonts w:ascii="Times New Roman"/>
          <w:b/>
          <w:i w:val="false"/>
          <w:color w:val="000000"/>
        </w:rPr>
        <w:t>о заключенных договорах на краудфандинговых платформах, а также выплаченных</w:t>
      </w:r>
      <w:r>
        <w:br/>
      </w:r>
      <w:r>
        <w:rPr>
          <w:rFonts w:ascii="Times New Roman"/>
          <w:b/>
          <w:i w:val="false"/>
          <w:color w:val="000000"/>
        </w:rPr>
        <w:t>вознаграждениях резидентам и нерезидентам"</w:t>
      </w:r>
      <w:r>
        <w:br/>
      </w:r>
      <w:r>
        <w:rPr>
          <w:rFonts w:ascii="Times New Roman"/>
          <w:b/>
          <w:i w:val="false"/>
          <w:color w:val="000000"/>
        </w:rPr>
        <w:t>(1 – СЗДКП, ежегодно)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заключенных договорах на краудфандинговых платформах, а также выплаченных вознаграждениях резидентам и нерезидентам (далее – Форма) разработана в соответствии с пунктом 29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Формы указывается порядковый номер.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Формы указывается индивидуальный идентификационный номер (далее – ИИН) налогоплательщика.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Формы указывается фамилия, имя и отчество (если оно указано в документе, удостоверяющем личность) налогоплательщика.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Формы указывается бизнес-идентификационный номер краудфандинговой платформы.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Формы указывается банковский идентификационный код (далее – БИК) краудфандинговой платформы.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Формы указывается наименование краудфандинговой платформы.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Формы указывается дата предоставления кредита.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Формы указывается номер и дата договора о предоставлении кредита.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9 Формы указывается код валюты представленного кредита в соответствии с национальным классификатором Республики Казахстан НК РК 07 ISO 4217 "Коды для представления валют и фондов".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Формы указывается сумма предоставленного кредита.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Формы указывается сумма уплаченного основного долга.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Формы указывается сумма уплаченного вознаграждения.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13 Формы указывается остаток суммы основного долга.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14 Формы указывается остаток суммы по вознаграждению.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15 Формы указывается сумма пени.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16 Формы указывается вид кредита.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