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009f" w14:textId="36b0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14 октября 2025 года № 371. Зарегистрирован в Министерстве юстиции Республики Казахстан 15 октября 2025 года № 37135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под № 17320)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"17.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по следующим паспортам проектов:</w:t>
      </w:r>
    </w:p>
    <w:bookmarkEnd w:id="3"/>
    <w:bookmarkStart w:name="z9" w:id="4"/>
    <w:p>
      <w:pPr>
        <w:spacing w:after="0"/>
        <w:ind w:left="0"/>
        <w:jc w:val="both"/>
      </w:pPr>
      <w:r>
        <w:rPr>
          <w:rFonts w:ascii="Times New Roman"/>
          <w:b w:val="false"/>
          <w:i w:val="false"/>
          <w:color w:val="000000"/>
          <w:sz w:val="28"/>
        </w:rPr>
        <w:t>
      до 50 (пятидесяти) %:</w:t>
      </w:r>
    </w:p>
    <w:bookmarkEnd w:id="4"/>
    <w:bookmarkStart w:name="z10" w:id="5"/>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2; 13.2; 14; 19; 25; 26; 28; 29; 30; 31; 36; 40; 42;</w:t>
      </w:r>
    </w:p>
    <w:bookmarkEnd w:id="5"/>
    <w:bookmarkStart w:name="z11" w:id="6"/>
    <w:p>
      <w:pPr>
        <w:spacing w:after="0"/>
        <w:ind w:left="0"/>
        <w:jc w:val="both"/>
      </w:pPr>
      <w:r>
        <w:rPr>
          <w:rFonts w:ascii="Times New Roman"/>
          <w:b w:val="false"/>
          <w:i w:val="false"/>
          <w:color w:val="000000"/>
          <w:sz w:val="28"/>
        </w:rPr>
        <w:t>
      по паспорту проекта № 1.1 "Приобретение приоритетных сельскохозяйственных машин и оборудования" для сельскохозяйственных кооперативов по следующим позициям: 1; 2; 5; 6; 7; 8; 10; 11;</w:t>
      </w:r>
    </w:p>
    <w:bookmarkEnd w:id="6"/>
    <w:bookmarkStart w:name="z12" w:id="7"/>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7"/>
    <w:bookmarkStart w:name="z13" w:id="8"/>
    <w:p>
      <w:pPr>
        <w:spacing w:after="0"/>
        <w:ind w:left="0"/>
        <w:jc w:val="both"/>
      </w:pPr>
      <w:r>
        <w:rPr>
          <w:rFonts w:ascii="Times New Roman"/>
          <w:b w:val="false"/>
          <w:i w:val="false"/>
          <w:color w:val="000000"/>
          <w:sz w:val="28"/>
        </w:rPr>
        <w:t>
      При этом, один сельскохозяйственный кооператив получает инвестиционные субсидии на приобретенную (приобретаемую) технику, машины и оборудование, до:</w:t>
      </w:r>
    </w:p>
    <w:bookmarkEnd w:id="8"/>
    <w:bookmarkStart w:name="z14" w:id="9"/>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9"/>
    <w:bookmarkStart w:name="z15" w:id="10"/>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10"/>
    <w:bookmarkStart w:name="z16" w:id="11"/>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11"/>
    <w:bookmarkStart w:name="z17" w:id="12"/>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12"/>
    <w:bookmarkStart w:name="z18" w:id="13"/>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 в Мангистауской области:</w:t>
      </w:r>
    </w:p>
    <w:bookmarkEnd w:id="13"/>
    <w:bookmarkStart w:name="z19" w:id="14"/>
    <w:p>
      <w:pPr>
        <w:spacing w:after="0"/>
        <w:ind w:left="0"/>
        <w:jc w:val="both"/>
      </w:pPr>
      <w:r>
        <w:rPr>
          <w:rFonts w:ascii="Times New Roman"/>
          <w:b w:val="false"/>
          <w:i w:val="false"/>
          <w:color w:val="000000"/>
          <w:sz w:val="28"/>
        </w:rPr>
        <w:t>
      до 80 (восьмидесяти) % на бурение колодцев, скважин.";</w:t>
      </w:r>
    </w:p>
    <w:bookmarkEnd w:id="14"/>
    <w:bookmarkStart w:name="z20" w:id="15"/>
    <w:p>
      <w:pPr>
        <w:spacing w:after="0"/>
        <w:ind w:left="0"/>
        <w:jc w:val="both"/>
      </w:pPr>
      <w:r>
        <w:rPr>
          <w:rFonts w:ascii="Times New Roman"/>
          <w:b w:val="false"/>
          <w:i w:val="false"/>
          <w:color w:val="000000"/>
          <w:sz w:val="28"/>
        </w:rPr>
        <w:t>
      в пункте 23:</w:t>
      </w:r>
    </w:p>
    <w:bookmarkEnd w:id="15"/>
    <w:bookmarkStart w:name="z21" w:id="16"/>
    <w:p>
      <w:pPr>
        <w:spacing w:after="0"/>
        <w:ind w:left="0"/>
        <w:jc w:val="both"/>
      </w:pPr>
      <w:r>
        <w:rPr>
          <w:rFonts w:ascii="Times New Roman"/>
          <w:b w:val="false"/>
          <w:i w:val="false"/>
          <w:color w:val="000000"/>
          <w:sz w:val="28"/>
        </w:rPr>
        <w:t>
      подпункт 9) исключить;</w:t>
      </w:r>
    </w:p>
    <w:bookmarkEnd w:id="16"/>
    <w:bookmarkStart w:name="z22" w:id="17"/>
    <w:p>
      <w:pPr>
        <w:spacing w:after="0"/>
        <w:ind w:left="0"/>
        <w:jc w:val="both"/>
      </w:pPr>
      <w:r>
        <w:rPr>
          <w:rFonts w:ascii="Times New Roman"/>
          <w:b w:val="false"/>
          <w:i w:val="false"/>
          <w:color w:val="000000"/>
          <w:sz w:val="28"/>
        </w:rPr>
        <w:t>
      подпункт 10) изложить в следующей редакции:</w:t>
      </w:r>
    </w:p>
    <w:bookmarkEnd w:id="17"/>
    <w:bookmarkStart w:name="z23" w:id="18"/>
    <w:p>
      <w:pPr>
        <w:spacing w:after="0"/>
        <w:ind w:left="0"/>
        <w:jc w:val="both"/>
      </w:pPr>
      <w:r>
        <w:rPr>
          <w:rFonts w:ascii="Times New Roman"/>
          <w:b w:val="false"/>
          <w:i w:val="false"/>
          <w:color w:val="000000"/>
          <w:sz w:val="28"/>
        </w:rPr>
        <w:t>
      "10) по паспорту проекта № 4 дополнительно:</w:t>
      </w:r>
    </w:p>
    <w:bookmarkEnd w:id="18"/>
    <w:bookmarkStart w:name="z24" w:id="19"/>
    <w:p>
      <w:pPr>
        <w:spacing w:after="0"/>
        <w:ind w:left="0"/>
        <w:jc w:val="both"/>
      </w:pPr>
      <w:r>
        <w:rPr>
          <w:rFonts w:ascii="Times New Roman"/>
          <w:b w:val="false"/>
          <w:i w:val="false"/>
          <w:color w:val="000000"/>
          <w:sz w:val="28"/>
        </w:rPr>
        <w:t>
      копию документа, подтверждающего государственную регистрацию прав на водохозяйственное сооружение;</w:t>
      </w:r>
    </w:p>
    <w:bookmarkEnd w:id="19"/>
    <w:bookmarkStart w:name="z25" w:id="20"/>
    <w:p>
      <w:pPr>
        <w:spacing w:after="0"/>
        <w:ind w:left="0"/>
        <w:jc w:val="both"/>
      </w:pPr>
      <w:r>
        <w:rPr>
          <w:rFonts w:ascii="Times New Roman"/>
          <w:b w:val="false"/>
          <w:i w:val="false"/>
          <w:color w:val="000000"/>
          <w:sz w:val="28"/>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bookmarkEnd w:id="20"/>
    <w:bookmarkStart w:name="z26" w:id="21"/>
    <w:p>
      <w:pPr>
        <w:spacing w:after="0"/>
        <w:ind w:left="0"/>
        <w:jc w:val="both"/>
      </w:pPr>
      <w:r>
        <w:rPr>
          <w:rFonts w:ascii="Times New Roman"/>
          <w:b w:val="false"/>
          <w:i w:val="false"/>
          <w:color w:val="000000"/>
          <w:sz w:val="28"/>
        </w:rPr>
        <w:t xml:space="preserve">
      копию технического паспорта водозаборной скважины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исполняющего обязанности Министра водных ресурсов и ирригации Республики Казахстан от 10 июля 2025 года № 170-НҚ "Об утверждении Правил проведения паспортизации водохозяйственных и гидротехнических сооружений, а также формы паспорта водохозяйственных и гидротехнических сооружений" (зарегистрирован в Реестре государственной регистрации нормативных правовых актов № 36439);</w:t>
      </w:r>
    </w:p>
    <w:bookmarkEnd w:id="21"/>
    <w:bookmarkStart w:name="z27" w:id="22"/>
    <w:p>
      <w:pPr>
        <w:spacing w:after="0"/>
        <w:ind w:left="0"/>
        <w:jc w:val="both"/>
      </w:pPr>
      <w:r>
        <w:rPr>
          <w:rFonts w:ascii="Times New Roman"/>
          <w:b w:val="false"/>
          <w:i w:val="false"/>
          <w:color w:val="000000"/>
          <w:sz w:val="28"/>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bookmarkEnd w:id="22"/>
    <w:bookmarkStart w:name="z28" w:id="23"/>
    <w:p>
      <w:pPr>
        <w:spacing w:after="0"/>
        <w:ind w:left="0"/>
        <w:jc w:val="both"/>
      </w:pPr>
      <w:r>
        <w:rPr>
          <w:rFonts w:ascii="Times New Roman"/>
          <w:b w:val="false"/>
          <w:i w:val="false"/>
          <w:color w:val="000000"/>
          <w:sz w:val="28"/>
        </w:rPr>
        <w:t>
      копию заключенного договора с подрядчиком;</w:t>
      </w:r>
    </w:p>
    <w:bookmarkEnd w:id="23"/>
    <w:bookmarkStart w:name="z29" w:id="24"/>
    <w:p>
      <w:pPr>
        <w:spacing w:after="0"/>
        <w:ind w:left="0"/>
        <w:jc w:val="both"/>
      </w:pPr>
      <w:r>
        <w:rPr>
          <w:rFonts w:ascii="Times New Roman"/>
          <w:b w:val="false"/>
          <w:i w:val="false"/>
          <w:color w:val="000000"/>
          <w:sz w:val="28"/>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33" w:id="25"/>
    <w:p>
      <w:pPr>
        <w:spacing w:after="0"/>
        <w:ind w:left="0"/>
        <w:jc w:val="both"/>
      </w:pPr>
      <w:r>
        <w:rPr>
          <w:rFonts w:ascii="Times New Roman"/>
          <w:b w:val="false"/>
          <w:i w:val="false"/>
          <w:color w:val="000000"/>
          <w:sz w:val="28"/>
        </w:rPr>
        <w:t>
      2. Установить, что пункт 14 Правил с 1 января 2026 года действует в следующей редакции:</w:t>
      </w:r>
    </w:p>
    <w:bookmarkEnd w:id="25"/>
    <w:bookmarkStart w:name="z34" w:id="26"/>
    <w:p>
      <w:pPr>
        <w:spacing w:after="0"/>
        <w:ind w:left="0"/>
        <w:jc w:val="both"/>
      </w:pPr>
      <w:r>
        <w:rPr>
          <w:rFonts w:ascii="Times New Roman"/>
          <w:b w:val="false"/>
          <w:i w:val="false"/>
          <w:color w:val="000000"/>
          <w:sz w:val="28"/>
        </w:rPr>
        <w:t>
      "14.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(за исключением приобретения товаров в финансовый лизинг). Расходы, осуществленные до 1 января 2020 года, подтверждаются бумажными счет-фактурами.</w:t>
      </w:r>
    </w:p>
    <w:bookmarkEnd w:id="26"/>
    <w:bookmarkStart w:name="z35" w:id="27"/>
    <w:p>
      <w:pPr>
        <w:spacing w:after="0"/>
        <w:ind w:left="0"/>
        <w:jc w:val="both"/>
      </w:pPr>
      <w:r>
        <w:rPr>
          <w:rFonts w:ascii="Times New Roman"/>
          <w:b w:val="false"/>
          <w:i w:val="false"/>
          <w:color w:val="000000"/>
          <w:sz w:val="28"/>
        </w:rPr>
        <w:t xml:space="preserve">
      При приобретении сельскохозяйственным товаропроизводителем (сельскохозяйственным кооперативом) техники, машин и/или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530 Налогового кодекса Республики Казахстан (далее – Налоговый кодекс) (с территории государств-членов Евразийского экономического союза).".</w:t>
      </w:r>
    </w:p>
    <w:bookmarkEnd w:id="27"/>
    <w:bookmarkStart w:name="z36" w:id="28"/>
    <w:p>
      <w:pPr>
        <w:spacing w:after="0"/>
        <w:ind w:left="0"/>
        <w:jc w:val="both"/>
      </w:pPr>
      <w:r>
        <w:rPr>
          <w:rFonts w:ascii="Times New Roman"/>
          <w:b w:val="false"/>
          <w:i w:val="false"/>
          <w:color w:val="000000"/>
          <w:sz w:val="28"/>
        </w:rPr>
        <w:t>
      3.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28"/>
    <w:bookmarkStart w:name="z37" w:id="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9"/>
    <w:bookmarkStart w:name="z38" w:id="30"/>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сельского хозяйства Республики Казахстан после его официального опубликования.</w:t>
      </w:r>
    </w:p>
    <w:bookmarkEnd w:id="30"/>
    <w:bookmarkStart w:name="z39" w:id="3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31"/>
    <w:bookmarkStart w:name="z40" w:id="3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42"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3"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4"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6"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7"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0" w:id="39"/>
    <w:p>
      <w:pPr>
        <w:spacing w:after="0"/>
        <w:ind w:left="0"/>
        <w:jc w:val="left"/>
      </w:pPr>
      <w:r>
        <w:rPr>
          <w:rFonts w:ascii="Times New Roman"/>
          <w:b/>
          <w:i w:val="false"/>
          <w:color w:val="000000"/>
        </w:rPr>
        <w:t xml:space="preserve"> Перечень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w:t>
            </w:r>
          </w:p>
          <w:p>
            <w:pPr>
              <w:spacing w:after="20"/>
              <w:ind w:left="20"/>
              <w:jc w:val="both"/>
            </w:pPr>
            <w:r>
              <w:rPr>
                <w:rFonts w:ascii="Times New Roman"/>
                <w:b w:val="false"/>
                <w:i w:val="false"/>
                <w:color w:val="000000"/>
                <w:sz w:val="20"/>
              </w:rPr>
              <w:t>экономической деятельности</w:t>
            </w:r>
          </w:p>
          <w:p>
            <w:pPr>
              <w:spacing w:after="20"/>
              <w:ind w:left="20"/>
              <w:jc w:val="both"/>
            </w:pPr>
            <w:r>
              <w:rPr>
                <w:rFonts w:ascii="Times New Roman"/>
                <w:b w:val="false"/>
                <w:i w:val="false"/>
                <w:color w:val="000000"/>
                <w:sz w:val="20"/>
              </w:rPr>
              <w:t>(код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пищевых продуктов,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биоэтанола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3" w:id="40"/>
    <w:p>
      <w:pPr>
        <w:spacing w:after="0"/>
        <w:ind w:left="0"/>
        <w:jc w:val="left"/>
      </w:pPr>
      <w:r>
        <w:rPr>
          <w:rFonts w:ascii="Times New Roman"/>
          <w:b/>
          <w:i w:val="false"/>
          <w:color w:val="000000"/>
        </w:rPr>
        <w:t xml:space="preserve"> Перечень паспортов проектов</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приоритетных сельскохозяйственных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навесной и прицепной сельскохозяйственной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переработке шкур и шерсти сельскохозяйственных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5 тысяч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расширение объектов для выращивания свиней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в птицеводстве яичного и мясного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переработке плодов/овощей/бахчевых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переработки зерновых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глубокой переработке растениеводческой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завода по переработке куриного яйца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6" w:id="41"/>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tblGrid>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Свеклоуборочный комбайн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 от 80 лошадиных сил (включительно) на гусеничном ходу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мощностью от 201 лошадиных сил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кубических метра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 (мобильная зерносушилка) от 49-145 тонн в сутки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менее 2,2 кубических метра)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авиационные системы (БАС) сельскохозяйственные многофункциональные (для распыления пестицидов, разбрасывания семян, удобрений и других)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вентиляторный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с шириной захвата 20 – 100 метров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шириной захвата 20 – 100 метров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Шарнирная сетка для ограждения сельскохозяйственных земель от потравы сайгаками*****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(металлические или бетонные) для фиксации шарнирной сетки для ограждения сельскохозяйственных земель от потравы сайгаками*****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В случае приобретения автомобиля для перевозки грузов сельскохозяйственного назначения необходим наличие земельной площади не менее 120 гектаров;</w:t>
            </w:r>
          </w:p>
          <w:p>
            <w:pPr>
              <w:spacing w:after="20"/>
              <w:ind w:left="20"/>
              <w:jc w:val="both"/>
            </w:pPr>
            <w:r>
              <w:rPr>
                <w:rFonts w:ascii="Times New Roman"/>
                <w:b w:val="false"/>
                <w:i w:val="false"/>
                <w:color w:val="000000"/>
                <w:sz w:val="20"/>
              </w:rPr>
              <w:t>
** позиции 32, 33 субсидируются за счет средств из местного бюджета.</w:t>
            </w:r>
          </w:p>
          <w:p>
            <w:pPr>
              <w:spacing w:after="20"/>
              <w:ind w:left="20"/>
              <w:jc w:val="both"/>
            </w:pPr>
            <w:r>
              <w:rPr>
                <w:rFonts w:ascii="Times New Roman"/>
                <w:b w:val="false"/>
                <w:i w:val="false"/>
                <w:color w:val="000000"/>
                <w:sz w:val="20"/>
              </w:rPr>
              <w:t>
***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 максимальная допустимая стоимость ограждения для пастбищ не должна превышать 16 миллионов тенге на 1000 гектаров.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позиции 46, 47 субсидируются за счет средств из местного бюджета.</w:t>
            </w:r>
          </w:p>
          <w:p>
            <w:pPr>
              <w:spacing w:after="20"/>
              <w:ind w:left="20"/>
              <w:jc w:val="both"/>
            </w:pPr>
            <w:r>
              <w:rPr>
                <w:rFonts w:ascii="Times New Roman"/>
                <w:b w:val="false"/>
                <w:i w:val="false"/>
                <w:color w:val="000000"/>
                <w:sz w:val="20"/>
              </w:rPr>
              <w:t>
Диаметр проволоки сетки не менее 2,5 миллиметра, высота сетки не менее 1,6 метра.</w:t>
            </w:r>
          </w:p>
          <w:p>
            <w:pPr>
              <w:spacing w:after="20"/>
              <w:ind w:left="20"/>
              <w:jc w:val="both"/>
            </w:pPr>
            <w:r>
              <w:rPr>
                <w:rFonts w:ascii="Times New Roman"/>
                <w:b w:val="false"/>
                <w:i w:val="false"/>
                <w:color w:val="000000"/>
                <w:sz w:val="20"/>
              </w:rPr>
              <w:t>
Размеры ячейки сетки: ширина не более 100 миллиметров, высота не более 75 миллиметров.</w:t>
            </w:r>
          </w:p>
          <w:p>
            <w:pPr>
              <w:spacing w:after="20"/>
              <w:ind w:left="20"/>
              <w:jc w:val="both"/>
            </w:pPr>
            <w:r>
              <w:rPr>
                <w:rFonts w:ascii="Times New Roman"/>
                <w:b w:val="false"/>
                <w:i w:val="false"/>
                <w:color w:val="000000"/>
                <w:sz w:val="20"/>
              </w:rPr>
              <w:t>
Расстояние между столбами не более 3-5 метров.</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181 до 300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430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до 539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мощностью до 129 лошадиных сил (включительно)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150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151 до 220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279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до 430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201 - 400 лошадиных сил</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 с двигателем PowerTech™, системой телематики JDLink™,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539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249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299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449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 с двигателем PowerTech™ и системой телематики JDLink™, компонентами пропускного тракта с технологией Dura Line™.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с двигателем PowerTech™ и (или) системой телематики JDLink™, с рядковыми элементами по сбору хлопка PRO12 или MR16 или MR12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p>
            <w:pPr>
              <w:spacing w:after="20"/>
              <w:ind w:left="20"/>
              <w:jc w:val="both"/>
            </w:pPr>
            <w:r>
              <w:rPr>
                <w:rFonts w:ascii="Times New Roman"/>
                <w:b w:val="false"/>
                <w:i w:val="false"/>
                <w:color w:val="000000"/>
                <w:sz w:val="20"/>
              </w:rPr>
              <w:t>
(с двигателем PowerTech™ и системой телематики JDLink™, рядковые элементы по сбору хлопка MR16 и cо встроенной автоматической камерой прессования хлопка и упаковки в рулоны, покрытые пленкой TamaWrap+™ и системой контроля процесса тюкования Cotton Pro (HID, Cotton Pro), с монитором управления CommandCenter™ G5Plus, функцией автоматического вождения по рядкам AutoTrac™ RowSense™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сеялка/посевной комплекс: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со стойками для сошников TruPosition™ или сошниками ConservaPak™ или сошниками ProSeries™, система контроля забивания семяпроводов RelativeFlow™. Бункер для семян из пластика, конвейерный тип транспортера, высевающий аппарат с дозирующими высевающими катушками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пневматическая сеялка /посевной комплекс: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зерновая сеялка с двухдисковым сошником или сошником ProSeries™, комбинированным бункером для семян и удобрений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точного высева с высевающей секцией MaxEmerge или ExactEmerge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 рядов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рядов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предварительной очистки зерна до 150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очистки зерна барабанного типа до 60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40 до 60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60 до 120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ленточный, производительность от 100-до 200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скребковый, производительность от 100-до 200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зерновая, производительность от 50-до 200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сортировальная машина, производительность от 10 до 30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пневмосортировальный, производительность до 10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конвейер производительность 60 тонн/час длина 8 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Триерный блок, производительность от 8 до 12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20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культиватор со стойками TruPosition™ и тандемные колҰса для копирования рельефа Walk-Over, и (или) с регулировкой глубины в одной точке Single Point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8,9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с мотовилом с композитными пальцами и/или c системой автоматической скорости мотовила Dial-a-Speed и/или с системой копирования рельефа Active Header Control/HydroFlex/Active Header Float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7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7,1 до 8,9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до 12,9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от13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для комбайна с контролем управления высоты - cистема копирования рельефа HCU/AHC, пластиковыми пальцами ленты подборщика, системой автоматической скорости ленты Dial-a-Speed и/или системой амортизации FieldGlide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 с технологией контроля глубины TruSet™ и (или) с регулировкой глубины в одной точке Single Рoint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снегопах, валкообразователь, валкоукладчик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 совместимый с тракторами оборудованных функцией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 с фиксированной камерой прессования, с системой предварительного измельчения MaxiCut HC 2,2 м или со стандартным подборщиком 1,79 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 с системой регулировки смещения, централизованная система смазки узловязателей; очистной вентилятор узловязателя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зеленых кормов (для силоса, сенажа): с упаковкой в пленку и внесением консервантов B-Wrap, с системой взвешивания и измерением влажности и система контроля параметров работы СommandCenter, уникальная система обвязки CoverEdge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косилки с навигационной системой AutoTrac™, системой автоматической скорости мотовила Dial-a-Speed, системой передвижения столов и автоматическим реверсированием лент</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системой распыления раствора с функциями AutoFill и AutoDiluter системой стабилизации штанги BoomTrac™ или TerrainControl Pro™/TerrainCommand Pro™, дисплей управления системами CommandCenter™</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с двигателем PowerTech™ и системой телематики JDLink™, система стабилизации штанги BoomTrac™ или TerrainControl Pro™ / Terrain Command Pro™, навигационной системой AutoTrac™, дисплей управления системами Command Center™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3000 литров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3001 до 5999 литра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6000 литра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смешивающий комплекс для средств защиты растений, производительность насоса от 200 до 2000 литров в минуту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Смешивающий комплекс для средств защиты растений, производительность насоса от 200 до 2000 литров в минуту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машина для внесения жидких удобрений, объем до 8001 литров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разбрасыватель удобрений с двигателем PowerTech™ и системой телематики JDLink™, навигационной системой AutoTrac™, дисплей управления системами CommandCenter™</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в максимальной допустимой стоимости для расчета субсидий на зерноуборочные комбайны предусмотрена стоимость жатки и (или) платформа подборщика. В случае приобретения зерноуборочного комбайна без жатки и (или) платформа подборщика допускается расчет субсидии, без учета стоимости жатки и (или) платформа подборщика.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"Приобретение навесной и прицепной сельскохозяйственной техники"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для посева зерна и зернобобовых культур: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3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3.1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6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6.1-12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12.1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4,0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4,1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6,0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12,1-20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6-9 метров:</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9,1 метра: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 косилки дисковая: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8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до 4,0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от 4,1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*субсидирование осуществляется по технике, машинам и оборудованию, приобретенным до 25 мая 2024 года (включительно).</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
* Субсидируются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семеноводстве" (далее – Закон о семеноводстве).</w:t>
            </w:r>
          </w:p>
          <w:p>
            <w:pPr>
              <w:spacing w:after="20"/>
              <w:ind w:left="20"/>
              <w:jc w:val="both"/>
            </w:pP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оборудования,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о семеноводстве;</w:t>
            </w:r>
          </w:p>
          <w:p>
            <w:pPr>
              <w:spacing w:after="20"/>
              <w:ind w:left="20"/>
              <w:jc w:val="both"/>
            </w:pPr>
            <w:r>
              <w:rPr>
                <w:rFonts w:ascii="Times New Roman"/>
                <w:b w:val="false"/>
                <w:i w:val="false"/>
                <w:color w:val="000000"/>
                <w:sz w:val="20"/>
              </w:rPr>
              <w:t>
** приобретение оборудования при необходимости.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пустынных и полупустынных зон – не более 375 метров</w:t>
            </w:r>
          </w:p>
        </w:tc>
        <w:tc>
          <w:tcPr>
            <w:tcW w:w="0" w:type="auto"/>
            <w:gridSpan w:val="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
При строительстве трубчатого колодца (скважины) диаметр трубы должен быть не менее 168 миллиметров и толщина стены трубы не менее 5 миллиметров, за исключением колодцев построенных до 1 января 2024 года.</w:t>
            </w:r>
          </w:p>
          <w:p>
            <w:pPr>
              <w:spacing w:after="20"/>
              <w:ind w:left="20"/>
              <w:jc w:val="both"/>
            </w:pPr>
            <w:r>
              <w:rPr>
                <w:rFonts w:ascii="Times New Roman"/>
                <w:b w:val="false"/>
                <w:i w:val="false"/>
                <w:color w:val="000000"/>
                <w:sz w:val="20"/>
              </w:rPr>
              <w:t>
Обязательным пунктом в договоре является гарантия подрядчика по обеспечению в течение года дебета воды, указанного в паспорте объекта.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(при необходимости), ограждения внутренних проходов, приспособления для чесания коров, оборудования вентиляции (при необходимости), водоснабжения, система для сепарации жидкого навоза (при необходимости),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молочно-товарной фермы от 50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коз молочного направления мощностью от 600 голов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мясоперерабатывающее предприятие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техники/машин/ оборудования, тенге</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производства сухого молока и/или молочной сыворотки для расширения действующих молокоперерабатывающих предприятий (вальцовая сушилка, дробление или распылительная установка)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молокоперерабатывающий завод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c долей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(при необходимости),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w:t>
            </w:r>
          </w:p>
          <w:p>
            <w:pPr>
              <w:spacing w:after="20"/>
              <w:ind w:left="20"/>
              <w:jc w:val="both"/>
            </w:pPr>
            <w:r>
              <w:rPr>
                <w:rFonts w:ascii="Times New Roman"/>
                <w:b w:val="false"/>
                <w:i w:val="false"/>
                <w:color w:val="000000"/>
                <w:sz w:val="20"/>
              </w:rPr>
              <w:t>
1.1. Строительство.</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gridSpan w:val="11"/>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11"/>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11"/>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11"/>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с количеством саженцев от 2000 до 5714 штук на 1 гектар***;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с применением системы капельного орошения; с использованием защитной сетки (противоградовая, солнцезащитная) из материала, не содержащего токсичных элементов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7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w:t>
            </w:r>
          </w:p>
          <w:p>
            <w:pPr>
              <w:spacing w:after="20"/>
              <w:ind w:left="20"/>
              <w:jc w:val="both"/>
            </w:pPr>
            <w:r>
              <w:rPr>
                <w:rFonts w:ascii="Times New Roman"/>
                <w:b w:val="false"/>
                <w:i w:val="false"/>
                <w:color w:val="000000"/>
                <w:sz w:val="20"/>
              </w:rPr>
              <w:t>
4 500 000 (ягодных культур).</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w:t>
            </w:r>
          </w:p>
          <w:p>
            <w:pPr>
              <w:spacing w:after="20"/>
              <w:ind w:left="20"/>
              <w:jc w:val="both"/>
            </w:pPr>
            <w:r>
              <w:rPr>
                <w:rFonts w:ascii="Times New Roman"/>
                <w:b w:val="false"/>
                <w:i w:val="false"/>
                <w:color w:val="000000"/>
                <w:sz w:val="20"/>
              </w:rPr>
              <w:t>
8 668 000 (плодовых косточковых культур);</w:t>
            </w:r>
          </w:p>
          <w:p>
            <w:pPr>
              <w:spacing w:after="20"/>
              <w:ind w:left="20"/>
              <w:jc w:val="both"/>
            </w:pPr>
            <w:r>
              <w:rPr>
                <w:rFonts w:ascii="Times New Roman"/>
                <w:b w:val="false"/>
                <w:i w:val="false"/>
                <w:color w:val="000000"/>
                <w:sz w:val="20"/>
              </w:rPr>
              <w:t>
1 841 000 (орехоплодных культур);</w:t>
            </w:r>
          </w:p>
          <w:p>
            <w:pPr>
              <w:spacing w:after="20"/>
              <w:ind w:left="20"/>
              <w:jc w:val="both"/>
            </w:pPr>
            <w:r>
              <w:rPr>
                <w:rFonts w:ascii="Times New Roman"/>
                <w:b w:val="false"/>
                <w:i w:val="false"/>
                <w:color w:val="000000"/>
                <w:sz w:val="20"/>
              </w:rPr>
              <w:t>
3 945 000 (виноград);</w:t>
            </w:r>
          </w:p>
          <w:p>
            <w:pPr>
              <w:spacing w:after="20"/>
              <w:ind w:left="20"/>
              <w:jc w:val="both"/>
            </w:pPr>
            <w:r>
              <w:rPr>
                <w:rFonts w:ascii="Times New Roman"/>
                <w:b w:val="false"/>
                <w:i w:val="false"/>
                <w:color w:val="000000"/>
                <w:sz w:val="20"/>
              </w:rPr>
              <w:t>
4 622 000 (ягодных культур);</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w:t>
            </w:r>
          </w:p>
          <w:p>
            <w:pPr>
              <w:spacing w:after="20"/>
              <w:ind w:left="20"/>
              <w:jc w:val="both"/>
            </w:pPr>
            <w:r>
              <w:rPr>
                <w:rFonts w:ascii="Times New Roman"/>
                <w:b w:val="false"/>
                <w:i w:val="false"/>
                <w:color w:val="000000"/>
                <w:sz w:val="20"/>
              </w:rPr>
              <w:t>
** приобретение сельскохозяйственной техники и оборудования (при необходимости);</w:t>
            </w:r>
          </w:p>
          <w:p>
            <w:pPr>
              <w:spacing w:after="20"/>
              <w:ind w:left="20"/>
              <w:jc w:val="both"/>
            </w:pPr>
            <w:r>
              <w:rPr>
                <w:rFonts w:ascii="Times New Roman"/>
                <w:b w:val="false"/>
                <w:i w:val="false"/>
                <w:color w:val="000000"/>
                <w:sz w:val="20"/>
              </w:rPr>
              <w:t>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Свиноводческий комплекс мощностью от 1000 свиноматок,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w:t>
            </w:r>
          </w:p>
          <w:p>
            <w:pPr>
              <w:spacing w:after="20"/>
              <w:ind w:left="20"/>
              <w:jc w:val="both"/>
            </w:pPr>
            <w:r>
              <w:rPr>
                <w:rFonts w:ascii="Times New Roman"/>
                <w:b w:val="false"/>
                <w:i w:val="false"/>
                <w:color w:val="000000"/>
                <w:sz w:val="20"/>
              </w:rPr>
              <w:t xml:space="preserve">
Стоимость инвестиционного проекта определяется согласно проектно-сметной документации: при строительстве/расширении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предприятий мощностью от 1000 свиноматок, без увеличения мест для свиноматок:</w:t>
            </w:r>
          </w:p>
          <w:p>
            <w:pPr>
              <w:spacing w:after="20"/>
              <w:ind w:left="20"/>
              <w:jc w:val="both"/>
            </w:pPr>
            <w:r>
              <w:rPr>
                <w:rFonts w:ascii="Times New Roman"/>
                <w:b w:val="false"/>
                <w:i w:val="false"/>
                <w:color w:val="000000"/>
                <w:sz w:val="20"/>
              </w:rPr>
              <w:t>
Корпус для откорма свинопоголовья с системой автоматизированного кормления, водоснабжения, навозоудаления, вентиляции и отопления,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xml:space="preserve">
Стоимость инвестиционного проекта определяется согласно проектно-сметной документации: при строительстве/расширении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свинопоголовья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317 000</w:t>
            </w:r>
          </w:p>
          <w:p>
            <w:pPr>
              <w:spacing w:after="20"/>
              <w:ind w:left="20"/>
              <w:jc w:val="both"/>
            </w:pPr>
            <w:r>
              <w:rPr>
                <w:rFonts w:ascii="Times New Roman"/>
                <w:b w:val="false"/>
                <w:i w:val="false"/>
                <w:color w:val="000000"/>
                <w:sz w:val="20"/>
              </w:rPr>
              <w:t>
158 000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p>
            <w:pPr>
              <w:spacing w:after="20"/>
              <w:ind w:left="20"/>
              <w:jc w:val="both"/>
            </w:pPr>
            <w:r>
              <w:rPr>
                <w:rFonts w:ascii="Times New Roman"/>
                <w:b w:val="false"/>
                <w:i w:val="false"/>
                <w:color w:val="000000"/>
                <w:sz w:val="20"/>
              </w:rPr>
              <w:t>
135 000 000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ветеринарных объектов согласно пунктам 17.1.2 и 17.1.3 СНиП РК 3.02-11 "Животноводческие, птицеводческие и звероводческие здания и помещения" предусмотренных проектно-сметной документацией</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p>
            <w:pPr>
              <w:spacing w:after="20"/>
              <w:ind w:left="20"/>
              <w:jc w:val="both"/>
            </w:pPr>
            <w:r>
              <w:rPr>
                <w:rFonts w:ascii="Times New Roman"/>
                <w:b w:val="false"/>
                <w:i w:val="false"/>
                <w:color w:val="000000"/>
                <w:sz w:val="20"/>
              </w:rPr>
              <w:t>
(является не обязательным в случае наличия действующего объекта у инвестора (услугополучателя) или наличия заключенного договора аутсорсинга по убою птицы)</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p>
            <w:pPr>
              <w:spacing w:after="20"/>
              <w:ind w:left="20"/>
              <w:jc w:val="both"/>
            </w:pPr>
            <w:r>
              <w:rPr>
                <w:rFonts w:ascii="Times New Roman"/>
                <w:b w:val="false"/>
                <w:i w:val="false"/>
                <w:color w:val="000000"/>
                <w:sz w:val="20"/>
              </w:rPr>
              <w:t>
(является не обязательным в случае специализации репродуктора на производстве и реализации инкубационного яйца)</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яйце 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w:t>
            </w:r>
          </w:p>
          <w:p>
            <w:pPr>
              <w:spacing w:after="20"/>
              <w:ind w:left="20"/>
              <w:jc w:val="both"/>
            </w:pPr>
            <w:r>
              <w:rPr>
                <w:rFonts w:ascii="Times New Roman"/>
                <w:b w:val="false"/>
                <w:i w:val="false"/>
                <w:color w:val="000000"/>
                <w:sz w:val="20"/>
              </w:rPr>
              <w:t>
- с холодильным оборудованием – 50 %;</w:t>
            </w:r>
          </w:p>
          <w:p>
            <w:pPr>
              <w:spacing w:after="20"/>
              <w:ind w:left="20"/>
              <w:jc w:val="both"/>
            </w:pPr>
            <w:r>
              <w:rPr>
                <w:rFonts w:ascii="Times New Roman"/>
                <w:b w:val="false"/>
                <w:i w:val="false"/>
                <w:color w:val="000000"/>
                <w:sz w:val="20"/>
              </w:rPr>
              <w:t>
- с вентиляционным оборудованием – 40 %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p>
            <w:pPr>
              <w:spacing w:after="20"/>
              <w:ind w:left="20"/>
              <w:jc w:val="both"/>
            </w:pPr>
            <w:r>
              <w:rPr>
                <w:rFonts w:ascii="Times New Roman"/>
                <w:b w:val="false"/>
                <w:i w:val="false"/>
                <w:color w:val="000000"/>
                <w:sz w:val="20"/>
              </w:rPr>
              <w:t>
седельный тягач*</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при комбинированном климат-контроле (с холодильным и вентиляционными оборудованиями) составляет 40 %.</w:t>
            </w:r>
          </w:p>
          <w:p>
            <w:pPr>
              <w:spacing w:after="20"/>
              <w:ind w:left="20"/>
              <w:jc w:val="both"/>
            </w:pPr>
            <w:r>
              <w:rPr>
                <w:rFonts w:ascii="Times New Roman"/>
                <w:b w:val="false"/>
                <w:i w:val="false"/>
                <w:color w:val="000000"/>
                <w:sz w:val="20"/>
              </w:rPr>
              <w:t>
**субсидируется по норме 3 единицы на 1500 тонн хранения</w:t>
            </w:r>
          </w:p>
          <w:p>
            <w:pPr>
              <w:spacing w:after="20"/>
              <w:ind w:left="20"/>
              <w:jc w:val="both"/>
            </w:pPr>
            <w:r>
              <w:rPr>
                <w:rFonts w:ascii="Times New Roman"/>
                <w:b w:val="false"/>
                <w:i w:val="false"/>
                <w:color w:val="000000"/>
                <w:sz w:val="20"/>
              </w:rPr>
              <w:t>
***Вместимость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1000 тонн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20 тонн:</w:t>
            </w:r>
          </w:p>
          <w:p>
            <w:pPr>
              <w:spacing w:after="20"/>
              <w:ind w:left="20"/>
              <w:jc w:val="both"/>
            </w:pPr>
            <w:r>
              <w:rPr>
                <w:rFonts w:ascii="Times New Roman"/>
                <w:b w:val="false"/>
                <w:i w:val="false"/>
                <w:color w:val="000000"/>
                <w:sz w:val="20"/>
              </w:rPr>
              <w:t>
седельный тягач</w:t>
            </w:r>
          </w:p>
          <w:p>
            <w:pPr>
              <w:spacing w:after="20"/>
              <w:ind w:left="20"/>
              <w:jc w:val="both"/>
            </w:pPr>
            <w:r>
              <w:rPr>
                <w:rFonts w:ascii="Times New Roman"/>
                <w:b w:val="false"/>
                <w:i w:val="false"/>
                <w:color w:val="000000"/>
                <w:sz w:val="20"/>
              </w:rPr>
              <w:t>
полуприцеп-рефрижератор</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w:t>
            </w:r>
          </w:p>
          <w:p>
            <w:pPr>
              <w:spacing w:after="20"/>
              <w:ind w:left="20"/>
              <w:jc w:val="both"/>
            </w:pPr>
            <w:r>
              <w:rPr>
                <w:rFonts w:ascii="Times New Roman"/>
                <w:b w:val="false"/>
                <w:i w:val="false"/>
                <w:color w:val="000000"/>
                <w:sz w:val="20"/>
              </w:rPr>
              <w:t>
*****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мощностью от 50 000 тонн в год по сырью с производственным комплексом и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p>
            <w:pPr>
              <w:spacing w:after="20"/>
              <w:ind w:left="20"/>
              <w:jc w:val="both"/>
            </w:pPr>
            <w:r>
              <w:rPr>
                <w:rFonts w:ascii="Times New Roman"/>
                <w:b w:val="false"/>
                <w:i w:val="false"/>
                <w:color w:val="000000"/>
                <w:sz w:val="20"/>
              </w:rPr>
              <w:t>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сельскохозяйственным кооперативом предприятия мощностью переработки масличных культур от 100 тонн в сутки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7"/>
            <w:vMerge/>
            <w:tcBorders>
              <w:top w:val="nil"/>
              <w:left w:val="single" w:color="cfcfcf" w:sz="5"/>
              <w:bottom w:val="single" w:color="cfcfcf" w:sz="5"/>
              <w:right w:val="single" w:color="cfcfcf" w:sz="5"/>
            </w:tcBorders>
          </w:tc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7"/>
            <w:vMerge/>
            <w:tcBorders>
              <w:top w:val="nil"/>
              <w:left w:val="single" w:color="cfcfcf" w:sz="5"/>
              <w:bottom w:val="single" w:color="cfcfcf" w:sz="5"/>
              <w:right w:val="single" w:color="cfcfcf" w:sz="5"/>
            </w:tcBorders>
          </w:tc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 В рамках настоящего паспорта проекта субсидируется не более одной заявки от одного сельскохозяйственного кооператива</w:t>
            </w:r>
          </w:p>
          <w:p>
            <w:pPr>
              <w:spacing w:after="20"/>
              <w:ind w:left="20"/>
              <w:jc w:val="both"/>
            </w:pPr>
            <w:r>
              <w:rPr>
                <w:rFonts w:ascii="Times New Roman"/>
                <w:b w:val="false"/>
                <w:i w:val="false"/>
                <w:color w:val="000000"/>
                <w:sz w:val="20"/>
              </w:rPr>
              <w:t>
С 1 января 2026 года исключается возмещение части инвестиционных вложений по инвестиционным проектам на создание новых производственных мощностей.</w:t>
            </w:r>
          </w:p>
          <w:p>
            <w:pPr>
              <w:spacing w:after="20"/>
              <w:ind w:left="20"/>
              <w:jc w:val="both"/>
            </w:pPr>
            <w:r>
              <w:rPr>
                <w:rFonts w:ascii="Times New Roman"/>
                <w:b w:val="false"/>
                <w:i w:val="false"/>
                <w:color w:val="000000"/>
                <w:sz w:val="20"/>
              </w:rPr>
              <w:t>
При этом, по инвестиционным проектам, введенным в эксплуатацию и получившим инвестиционные субсидии по первому траншу до января 2026 года, допускается получение инвестиционных субсидий по второму траншу после 1 января 2026 года согласно подпункту 2 пункта 16 настоящих Правил.</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по производству макарон без глютена мощностью от 0,2 тонны в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25 %);</w:t>
            </w:r>
          </w:p>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не отнесенной к продуктам высокой технологичной сложности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p>
            <w:pPr>
              <w:spacing w:after="20"/>
              <w:ind w:left="20"/>
              <w:jc w:val="both"/>
            </w:pPr>
            <w:r>
              <w:rPr>
                <w:rFonts w:ascii="Times New Roman"/>
                <w:b w:val="false"/>
                <w:i w:val="false"/>
                <w:color w:val="000000"/>
                <w:sz w:val="20"/>
              </w:rPr>
              <w:t>
Условия для расчета субсидий: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
Крахмалы модифицированные;</w:t>
            </w:r>
          </w:p>
          <w:p>
            <w:pPr>
              <w:spacing w:after="20"/>
              <w:ind w:left="20"/>
              <w:jc w:val="both"/>
            </w:pPr>
            <w:r>
              <w:rPr>
                <w:rFonts w:ascii="Times New Roman"/>
                <w:b w:val="false"/>
                <w:i w:val="false"/>
                <w:color w:val="000000"/>
                <w:sz w:val="20"/>
              </w:rPr>
              <w:t>
Глюкоза и сироп из глюкозы;</w:t>
            </w:r>
          </w:p>
          <w:p>
            <w:pPr>
              <w:spacing w:after="20"/>
              <w:ind w:left="20"/>
              <w:jc w:val="both"/>
            </w:pPr>
            <w:r>
              <w:rPr>
                <w:rFonts w:ascii="Times New Roman"/>
                <w:b w:val="false"/>
                <w:i w:val="false"/>
                <w:color w:val="000000"/>
                <w:sz w:val="20"/>
              </w:rPr>
              <w:t>
Фруктоза и сироп из фруктозы;</w:t>
            </w:r>
          </w:p>
          <w:p>
            <w:pPr>
              <w:spacing w:after="20"/>
              <w:ind w:left="20"/>
              <w:jc w:val="both"/>
            </w:pPr>
            <w:r>
              <w:rPr>
                <w:rFonts w:ascii="Times New Roman"/>
                <w:b w:val="false"/>
                <w:i w:val="false"/>
                <w:color w:val="000000"/>
                <w:sz w:val="20"/>
              </w:rPr>
              <w:t>
Мальтоза и мальтозный сироп;</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Концентраты белковые (протеиновые);</w:t>
            </w:r>
          </w:p>
          <w:p>
            <w:pPr>
              <w:spacing w:after="20"/>
              <w:ind w:left="20"/>
              <w:jc w:val="both"/>
            </w:pPr>
            <w:r>
              <w:rPr>
                <w:rFonts w:ascii="Times New Roman"/>
                <w:b w:val="false"/>
                <w:i w:val="false"/>
                <w:color w:val="000000"/>
                <w:sz w:val="20"/>
              </w:rPr>
              <w:t>
Соевый изолят;</w:t>
            </w:r>
          </w:p>
          <w:p>
            <w:pPr>
              <w:spacing w:after="20"/>
              <w:ind w:left="20"/>
              <w:jc w:val="both"/>
            </w:pPr>
            <w:r>
              <w:rPr>
                <w:rFonts w:ascii="Times New Roman"/>
                <w:b w:val="false"/>
                <w:i w:val="false"/>
                <w:color w:val="000000"/>
                <w:sz w:val="20"/>
              </w:rPr>
              <w:t>
Кислота лимонная;</w:t>
            </w:r>
          </w:p>
          <w:p>
            <w:pPr>
              <w:spacing w:after="20"/>
              <w:ind w:left="20"/>
              <w:jc w:val="both"/>
            </w:pPr>
            <w:r>
              <w:rPr>
                <w:rFonts w:ascii="Times New Roman"/>
                <w:b w:val="false"/>
                <w:i w:val="false"/>
                <w:color w:val="000000"/>
                <w:sz w:val="20"/>
              </w:rPr>
              <w:t>
Лецитин и фосфолипиды растительные;</w:t>
            </w:r>
          </w:p>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
Лизин, кислота глутаминовая и их соли.</w:t>
            </w:r>
          </w:p>
          <w:p>
            <w:pPr>
              <w:spacing w:after="20"/>
              <w:ind w:left="20"/>
              <w:jc w:val="both"/>
            </w:pPr>
            <w:r>
              <w:rPr>
                <w:rFonts w:ascii="Times New Roman"/>
                <w:b w:val="false"/>
                <w:i w:val="false"/>
                <w:color w:val="000000"/>
                <w:sz w:val="20"/>
              </w:rPr>
              <w:t xml:space="preserve">
Перечень продукции высокой технологичной сложности составлен в соответствии с Методикой оценки уровня передела товара для включения в перечень приоритетных товаров,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20 мая 2022 года № 273 (зарегистрирован в Реестре государственной регистрации нормативных правовых актов № 28242).</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хлебобулочных и/или кондитерских изделий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ремонтного молодняка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45 000 яиц/час</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переработке отходов убойного</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"Строительство, расширение завода по переработке куриного яйца"</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яйца с технологическим оборудованием, зданиями и сооружениями, инфраструктурой и оборудованием систем жизнедеятельности, с наличием необходимой техникой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44" w:id="42"/>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электронную заявку, подписанную электронной цифровой подписью (далее –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По инвестиционным проектам, введенным в эксплуатацию, а также по фактически приобретенной технике, машинам и оборудованию,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xml:space="preserve">
 После завершения работ услугополучатель подает электронную заявку на инвестиционное субсидирование по форме согласно приложению 3 к Правилам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подписанную ЭЦП услугополучателя,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5) копии актов приема-передачи техники, машин, оборудования;</w:t>
            </w:r>
          </w:p>
          <w:p>
            <w:pPr>
              <w:spacing w:after="20"/>
              <w:ind w:left="20"/>
              <w:jc w:val="both"/>
            </w:pPr>
            <w:r>
              <w:rPr>
                <w:rFonts w:ascii="Times New Roman"/>
                <w:b w:val="false"/>
                <w:i w:val="false"/>
                <w:color w:val="000000"/>
                <w:sz w:val="20"/>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7) в случае подачи заявки на получение второго транша в соответствии с подпунктом 2) пункта 16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p>
            <w:pPr>
              <w:spacing w:after="20"/>
              <w:ind w:left="20"/>
              <w:jc w:val="both"/>
            </w:pPr>
            <w:r>
              <w:rPr>
                <w:rFonts w:ascii="Times New Roman"/>
                <w:b w:val="false"/>
                <w:i w:val="false"/>
                <w:color w:val="000000"/>
                <w:sz w:val="20"/>
              </w:rPr>
              <w:t>
бизнес-план;</w:t>
            </w:r>
          </w:p>
          <w:p>
            <w:pPr>
              <w:spacing w:after="20"/>
              <w:ind w:left="20"/>
              <w:jc w:val="both"/>
            </w:pPr>
            <w:r>
              <w:rPr>
                <w:rFonts w:ascii="Times New Roman"/>
                <w:b w:val="false"/>
                <w:i w:val="false"/>
                <w:color w:val="000000"/>
                <w:sz w:val="20"/>
              </w:rPr>
              <w:t>
электронные счета-фактуры по реализации готовой продукции;</w:t>
            </w:r>
          </w:p>
          <w:p>
            <w:pPr>
              <w:spacing w:after="20"/>
              <w:ind w:left="20"/>
              <w:jc w:val="both"/>
            </w:pPr>
            <w:r>
              <w:rPr>
                <w:rFonts w:ascii="Times New Roman"/>
                <w:b w:val="false"/>
                <w:i w:val="false"/>
                <w:color w:val="000000"/>
                <w:sz w:val="20"/>
              </w:rPr>
              <w:t>
8) копии свидетельства о постановке на регистрационный учет по НДС (для субъектов АПК, состоящих на регистрационном учете по НДС);</w:t>
            </w:r>
          </w:p>
          <w:p>
            <w:pPr>
              <w:spacing w:after="20"/>
              <w:ind w:left="20"/>
              <w:jc w:val="both"/>
            </w:pPr>
            <w:r>
              <w:rPr>
                <w:rFonts w:ascii="Times New Roman"/>
                <w:b w:val="false"/>
                <w:i w:val="false"/>
                <w:color w:val="000000"/>
                <w:sz w:val="20"/>
              </w:rPr>
              <w:t>
9) по паспорту проекта № 4 дополнительно:</w:t>
            </w:r>
          </w:p>
          <w:p>
            <w:pPr>
              <w:spacing w:after="20"/>
              <w:ind w:left="20"/>
              <w:jc w:val="both"/>
            </w:pPr>
            <w:r>
              <w:rPr>
                <w:rFonts w:ascii="Times New Roman"/>
                <w:b w:val="false"/>
                <w:i w:val="false"/>
                <w:color w:val="000000"/>
                <w:sz w:val="20"/>
              </w:rPr>
              <w:t>
копию документа, подтверждающего государственную регистрацию прав на водохозяйственное сооружение;</w:t>
            </w:r>
          </w:p>
          <w:p>
            <w:pPr>
              <w:spacing w:after="20"/>
              <w:ind w:left="20"/>
              <w:jc w:val="both"/>
            </w:pPr>
            <w:r>
              <w:rPr>
                <w:rFonts w:ascii="Times New Roman"/>
                <w:b w:val="false"/>
                <w:i w:val="false"/>
                <w:color w:val="000000"/>
                <w:sz w:val="20"/>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p>
            <w:pPr>
              <w:spacing w:after="20"/>
              <w:ind w:left="20"/>
              <w:jc w:val="both"/>
            </w:pPr>
            <w:r>
              <w:rPr>
                <w:rFonts w:ascii="Times New Roman"/>
                <w:b w:val="false"/>
                <w:i w:val="false"/>
                <w:color w:val="000000"/>
                <w:sz w:val="20"/>
              </w:rPr>
              <w:t xml:space="preserve">
копию технического паспорта водозаборной скважины по форме согласно приложению 2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водных ресурсов и ирригации Республики Казахстан от 10 июля 2025 года № 170-НҚ "Об утверждении Правил проведения паспортизации водохозяйственных и гидротехнических сооружений, а также формы паспорта водохозяйственных и гидротехнических сооружений" (зарегистрирован в Реестре государственной регистрации нормативных правовых актов № 36439);</w:t>
            </w:r>
          </w:p>
          <w:p>
            <w:pPr>
              <w:spacing w:after="20"/>
              <w:ind w:left="20"/>
              <w:jc w:val="both"/>
            </w:pPr>
            <w:r>
              <w:rPr>
                <w:rFonts w:ascii="Times New Roman"/>
                <w:b w:val="false"/>
                <w:i w:val="false"/>
                <w:color w:val="000000"/>
                <w:sz w:val="20"/>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p>
            <w:pPr>
              <w:spacing w:after="20"/>
              <w:ind w:left="20"/>
              <w:jc w:val="both"/>
            </w:pPr>
            <w:r>
              <w:rPr>
                <w:rFonts w:ascii="Times New Roman"/>
                <w:b w:val="false"/>
                <w:i w:val="false"/>
                <w:color w:val="000000"/>
                <w:sz w:val="20"/>
              </w:rPr>
              <w:t>
копию заключенного договора с подрядчиком;</w:t>
            </w:r>
          </w:p>
          <w:p>
            <w:pPr>
              <w:spacing w:after="20"/>
              <w:ind w:left="20"/>
              <w:jc w:val="both"/>
            </w:pPr>
            <w:r>
              <w:rPr>
                <w:rFonts w:ascii="Times New Roman"/>
                <w:b w:val="false"/>
                <w:i w:val="false"/>
                <w:color w:val="000000"/>
                <w:sz w:val="20"/>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p>
            <w:pPr>
              <w:spacing w:after="20"/>
              <w:ind w:left="20"/>
              <w:jc w:val="both"/>
            </w:pPr>
            <w:r>
              <w:rPr>
                <w:rFonts w:ascii="Times New Roman"/>
                <w:b w:val="false"/>
                <w:i w:val="false"/>
                <w:color w:val="000000"/>
                <w:sz w:val="20"/>
              </w:rPr>
              <w:t>
10)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pPr>
              <w:spacing w:after="20"/>
              <w:ind w:left="20"/>
              <w:jc w:val="both"/>
            </w:pPr>
            <w:r>
              <w:rPr>
                <w:rFonts w:ascii="Times New Roman"/>
                <w:b w:val="false"/>
                <w:i w:val="false"/>
                <w:color w:val="000000"/>
                <w:sz w:val="20"/>
              </w:rPr>
              <w:t>
11)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2025 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176" w:id="4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3"/>
    <w:p>
      <w:pPr>
        <w:spacing w:after="0"/>
        <w:ind w:left="0"/>
        <w:jc w:val="both"/>
      </w:pPr>
      <w:bookmarkStart w:name="z177" w:id="44"/>
      <w:r>
        <w:rPr>
          <w:rFonts w:ascii="Times New Roman"/>
          <w:b w:val="false"/>
          <w:i w:val="false"/>
          <w:color w:val="000000"/>
          <w:sz w:val="28"/>
        </w:rPr>
        <w:t>
      Представляется: в Министерство сельского хозяйства Республики Казахстан</w:t>
      </w:r>
    </w:p>
    <w:bookmarkEnd w:id="44"/>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https://gosagro.kz/auth/login</w:t>
      </w:r>
    </w:p>
    <w:bookmarkStart w:name="z178" w:id="45"/>
    <w:p>
      <w:pPr>
        <w:spacing w:after="0"/>
        <w:ind w:left="0"/>
        <w:jc w:val="left"/>
      </w:pPr>
      <w:r>
        <w:rPr>
          <w:rFonts w:ascii="Times New Roman"/>
          <w:b/>
          <w:i w:val="false"/>
          <w:color w:val="000000"/>
        </w:rPr>
        <w:t xml:space="preserve"> Наименование административной формы:</w:t>
      </w:r>
      <w:r>
        <w:br/>
      </w:r>
      <w:r>
        <w:rPr>
          <w:rFonts w:ascii="Times New Roman"/>
          <w:b/>
          <w:i w:val="false"/>
          <w:color w:val="000000"/>
        </w:rPr>
        <w:t>Отчет об освоении субсидий на возмещение части расходов, понесенных субъектом</w:t>
      </w:r>
      <w:r>
        <w:br/>
      </w:r>
      <w:r>
        <w:rPr>
          <w:rFonts w:ascii="Times New Roman"/>
          <w:b/>
          <w:i w:val="false"/>
          <w:color w:val="000000"/>
        </w:rPr>
        <w:t>агропромышленного комплекса, при инвестиционных вложениях</w:t>
      </w:r>
    </w:p>
    <w:bookmarkEnd w:id="45"/>
    <w:bookmarkStart w:name="z179" w:id="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1-ИС</w:t>
      </w:r>
    </w:p>
    <w:bookmarkEnd w:id="46"/>
    <w:bookmarkStart w:name="z180" w:id="47"/>
    <w:p>
      <w:pPr>
        <w:spacing w:after="0"/>
        <w:ind w:left="0"/>
        <w:jc w:val="both"/>
      </w:pPr>
      <w:r>
        <w:rPr>
          <w:rFonts w:ascii="Times New Roman"/>
          <w:b w:val="false"/>
          <w:i w:val="false"/>
          <w:color w:val="000000"/>
          <w:sz w:val="28"/>
        </w:rPr>
        <w:t>
      Периодичность: ежеквартально, ежегодно</w:t>
      </w:r>
    </w:p>
    <w:bookmarkEnd w:id="47"/>
    <w:bookmarkStart w:name="z181" w:id="48"/>
    <w:p>
      <w:pPr>
        <w:spacing w:after="0"/>
        <w:ind w:left="0"/>
        <w:jc w:val="both"/>
      </w:pPr>
      <w:r>
        <w:rPr>
          <w:rFonts w:ascii="Times New Roman"/>
          <w:b w:val="false"/>
          <w:i w:val="false"/>
          <w:color w:val="000000"/>
          <w:sz w:val="28"/>
        </w:rPr>
        <w:t>
      Отчетный период: ___ квартал 20___ года, 20___ год</w:t>
      </w:r>
    </w:p>
    <w:bookmarkEnd w:id="48"/>
    <w:bookmarkStart w:name="z182" w:id="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bookmarkEnd w:id="49"/>
    <w:bookmarkStart w:name="z183" w:id="50"/>
    <w:p>
      <w:pPr>
        <w:spacing w:after="0"/>
        <w:ind w:left="0"/>
        <w:jc w:val="both"/>
      </w:pPr>
      <w:r>
        <w:rPr>
          <w:rFonts w:ascii="Times New Roman"/>
          <w:b w:val="false"/>
          <w:i w:val="false"/>
          <w:color w:val="000000"/>
          <w:sz w:val="28"/>
        </w:rPr>
        <w:t>
      Срок представления формы административных данных: ежеквартально, до пятого числа месяца, следующего за отчетным кварталом, и ежегодно, до десятого января календарного года.</w:t>
      </w:r>
    </w:p>
    <w:bookmarkEnd w:id="50"/>
    <w:bookmarkStart w:name="z184" w:id="51"/>
    <w:p>
      <w:pPr>
        <w:spacing w:after="0"/>
        <w:ind w:left="0"/>
        <w:jc w:val="both"/>
      </w:pPr>
      <w:r>
        <w:rPr>
          <w:rFonts w:ascii="Times New Roman"/>
          <w:b w:val="false"/>
          <w:i w:val="false"/>
          <w:color w:val="000000"/>
          <w:sz w:val="28"/>
        </w:rPr>
        <w:t xml:space="preserve">
      Бизнес-идентификационный номер </w:t>
      </w:r>
    </w:p>
    <w:bookmarkEnd w:id="51"/>
    <w:p>
      <w:pPr>
        <w:spacing w:after="0"/>
        <w:ind w:left="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52"/>
    <w:p>
      <w:pPr>
        <w:spacing w:after="0"/>
        <w:ind w:left="0"/>
        <w:jc w:val="both"/>
      </w:pPr>
      <w:r>
        <w:rPr>
          <w:rFonts w:ascii="Times New Roman"/>
          <w:b w:val="false"/>
          <w:i w:val="false"/>
          <w:color w:val="000000"/>
          <w:sz w:val="28"/>
        </w:rPr>
        <w:t>
      Метод сбора: в электронном виде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53"/>
    <w:p>
      <w:pPr>
        <w:spacing w:after="0"/>
        <w:ind w:left="0"/>
        <w:jc w:val="both"/>
      </w:pPr>
      <w:r>
        <w:rPr>
          <w:rFonts w:ascii="Times New Roman"/>
          <w:b w:val="false"/>
          <w:i w:val="false"/>
          <w:color w:val="000000"/>
          <w:sz w:val="28"/>
        </w:rPr>
        <w:t>
      продолжение таблицы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 w:id="54"/>
      <w:r>
        <w:rPr>
          <w:rFonts w:ascii="Times New Roman"/>
          <w:b w:val="false"/>
          <w:i w:val="false"/>
          <w:color w:val="000000"/>
          <w:sz w:val="28"/>
        </w:rPr>
        <w:t>
      Наименование ____________________________________________________</w:t>
      </w:r>
    </w:p>
    <w:bookmarkEnd w:id="54"/>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Первый руководитель-администратор бюджетных программ нижестоящего</w:t>
      </w:r>
    </w:p>
    <w:p>
      <w:pPr>
        <w:spacing w:after="0"/>
        <w:ind w:left="0"/>
        <w:jc w:val="both"/>
      </w:pPr>
      <w:r>
        <w:rPr>
          <w:rFonts w:ascii="Times New Roman"/>
          <w:b w:val="false"/>
          <w:i w:val="false"/>
          <w:color w:val="000000"/>
          <w:sz w:val="28"/>
        </w:rPr>
        <w:t>бюджета 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Подписано и отправлено финансовым институтом</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bookmarkStart w:name="z188" w:id="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освоении субсидий на возмещение части расходов, понесенных субъектом агропромышленного комплекса, при инвестиционных вложениях" (индекс: форма № 1-ИС, периодичность: ежеквартально, ежегодно)</w:t>
      </w:r>
    </w:p>
    <w:bookmarkEnd w:id="55"/>
    <w:bookmarkStart w:name="z189" w:id="56"/>
    <w:p>
      <w:pPr>
        <w:spacing w:after="0"/>
        <w:ind w:left="0"/>
        <w:jc w:val="left"/>
      </w:pPr>
      <w:r>
        <w:rPr>
          <w:rFonts w:ascii="Times New Roman"/>
          <w:b/>
          <w:i w:val="false"/>
          <w:color w:val="000000"/>
        </w:rPr>
        <w:t xml:space="preserve"> Глава 1. Общие положения</w:t>
      </w:r>
    </w:p>
    <w:bookmarkEnd w:id="56"/>
    <w:bookmarkStart w:name="z190" w:id="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субсидий на возмещение части расходов, понесенных субъектом агропромышленного комплекса, при инвестиционных вложениях" (далее – Форма).</w:t>
      </w:r>
    </w:p>
    <w:bookmarkEnd w:id="57"/>
    <w:bookmarkStart w:name="z191" w:id="58"/>
    <w:p>
      <w:pPr>
        <w:spacing w:after="0"/>
        <w:ind w:left="0"/>
        <w:jc w:val="both"/>
      </w:pPr>
      <w:r>
        <w:rPr>
          <w:rFonts w:ascii="Times New Roman"/>
          <w:b w:val="false"/>
          <w:i w:val="false"/>
          <w:color w:val="000000"/>
          <w:sz w:val="28"/>
        </w:rPr>
        <w:t>
      2. Форма заполняется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58"/>
    <w:bookmarkStart w:name="z192" w:id="59"/>
    <w:p>
      <w:pPr>
        <w:spacing w:after="0"/>
        <w:ind w:left="0"/>
        <w:jc w:val="both"/>
      </w:pPr>
      <w:r>
        <w:rPr>
          <w:rFonts w:ascii="Times New Roman"/>
          <w:b w:val="false"/>
          <w:i w:val="false"/>
          <w:color w:val="000000"/>
          <w:sz w:val="28"/>
        </w:rPr>
        <w:t>
      3. Форма подписывается исполнителем и руководителем местного исполнительного органа области, города республиканского значения и столицы, либо лицом, исполняющим его обязанности.</w:t>
      </w:r>
    </w:p>
    <w:bookmarkEnd w:id="59"/>
    <w:bookmarkStart w:name="z193" w:id="60"/>
    <w:p>
      <w:pPr>
        <w:spacing w:after="0"/>
        <w:ind w:left="0"/>
        <w:jc w:val="both"/>
      </w:pPr>
      <w:r>
        <w:rPr>
          <w:rFonts w:ascii="Times New Roman"/>
          <w:b w:val="false"/>
          <w:i w:val="false"/>
          <w:color w:val="000000"/>
          <w:sz w:val="28"/>
        </w:rPr>
        <w:t>
      4. Форма предоставляется в Министерство сельского хозяйства Республики Казахстан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ежеквартально, до пятого числа месяца, следующего за отчетным кварталом, и ежегодно, до десятого января календарного года.</w:t>
      </w:r>
    </w:p>
    <w:bookmarkEnd w:id="60"/>
    <w:bookmarkStart w:name="z194" w:id="61"/>
    <w:p>
      <w:pPr>
        <w:spacing w:after="0"/>
        <w:ind w:left="0"/>
        <w:jc w:val="both"/>
      </w:pPr>
      <w:r>
        <w:rPr>
          <w:rFonts w:ascii="Times New Roman"/>
          <w:b w:val="false"/>
          <w:i w:val="false"/>
          <w:color w:val="000000"/>
          <w:sz w:val="28"/>
        </w:rPr>
        <w:t>
      5. Форма заполняется на казахском или русском языках.</w:t>
      </w:r>
    </w:p>
    <w:bookmarkEnd w:id="61"/>
    <w:bookmarkStart w:name="z195" w:id="62"/>
    <w:p>
      <w:pPr>
        <w:spacing w:after="0"/>
        <w:ind w:left="0"/>
        <w:jc w:val="left"/>
      </w:pPr>
      <w:r>
        <w:rPr>
          <w:rFonts w:ascii="Times New Roman"/>
          <w:b/>
          <w:i w:val="false"/>
          <w:color w:val="000000"/>
        </w:rPr>
        <w:t xml:space="preserve"> Глава 2. Пояснение по заполнению Формы</w:t>
      </w:r>
    </w:p>
    <w:bookmarkEnd w:id="62"/>
    <w:bookmarkStart w:name="z196" w:id="63"/>
    <w:p>
      <w:pPr>
        <w:spacing w:after="0"/>
        <w:ind w:left="0"/>
        <w:jc w:val="both"/>
      </w:pPr>
      <w:r>
        <w:rPr>
          <w:rFonts w:ascii="Times New Roman"/>
          <w:b w:val="false"/>
          <w:i w:val="false"/>
          <w:color w:val="000000"/>
          <w:sz w:val="28"/>
        </w:rPr>
        <w:t>
      6. В графе 1 указывается порядковый номер.</w:t>
      </w:r>
    </w:p>
    <w:bookmarkEnd w:id="63"/>
    <w:bookmarkStart w:name="z197" w:id="64"/>
    <w:p>
      <w:pPr>
        <w:spacing w:after="0"/>
        <w:ind w:left="0"/>
        <w:jc w:val="both"/>
      </w:pPr>
      <w:r>
        <w:rPr>
          <w:rFonts w:ascii="Times New Roman"/>
          <w:b w:val="false"/>
          <w:i w:val="false"/>
          <w:color w:val="000000"/>
          <w:sz w:val="28"/>
        </w:rPr>
        <w:t>
      7. В графе 2 указывается наименование инвестора.</w:t>
      </w:r>
    </w:p>
    <w:bookmarkEnd w:id="64"/>
    <w:bookmarkStart w:name="z198" w:id="65"/>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инвестора.</w:t>
      </w:r>
    </w:p>
    <w:bookmarkEnd w:id="65"/>
    <w:bookmarkStart w:name="z199" w:id="66"/>
    <w:p>
      <w:pPr>
        <w:spacing w:after="0"/>
        <w:ind w:left="0"/>
        <w:jc w:val="both"/>
      </w:pPr>
      <w:r>
        <w:rPr>
          <w:rFonts w:ascii="Times New Roman"/>
          <w:b w:val="false"/>
          <w:i w:val="false"/>
          <w:color w:val="000000"/>
          <w:sz w:val="28"/>
        </w:rPr>
        <w:t xml:space="preserve">
      9. В графе 4 указывается наименование паспорта проекта в соответствии с приложениями 2 и 3 к Правилам субсидирования по возмещению части расходов, понесенных субъектом агропромышленного комплекса, при инвестиционных вложениях,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bookmarkEnd w:id="66"/>
    <w:bookmarkStart w:name="z200" w:id="67"/>
    <w:p>
      <w:pPr>
        <w:spacing w:after="0"/>
        <w:ind w:left="0"/>
        <w:jc w:val="both"/>
      </w:pPr>
      <w:r>
        <w:rPr>
          <w:rFonts w:ascii="Times New Roman"/>
          <w:b w:val="false"/>
          <w:i w:val="false"/>
          <w:color w:val="000000"/>
          <w:sz w:val="28"/>
        </w:rPr>
        <w:t>
      10. В графах 5, 6, 7 и 8 указывается производственная мощность предприятия на основании статистической формы инвестора и первичных документов, подтверждающих сбыт произведенной продукции по видам в натуральном и стоимостном выражении.</w:t>
      </w:r>
    </w:p>
    <w:bookmarkEnd w:id="67"/>
    <w:bookmarkStart w:name="z201" w:id="68"/>
    <w:p>
      <w:pPr>
        <w:spacing w:after="0"/>
        <w:ind w:left="0"/>
        <w:jc w:val="both"/>
      </w:pPr>
      <w:r>
        <w:rPr>
          <w:rFonts w:ascii="Times New Roman"/>
          <w:b w:val="false"/>
          <w:i w:val="false"/>
          <w:color w:val="000000"/>
          <w:sz w:val="28"/>
        </w:rPr>
        <w:t>
      11. В графе 9 указывается количество постоянных рабочих мест.</w:t>
      </w:r>
    </w:p>
    <w:bookmarkEnd w:id="68"/>
    <w:bookmarkStart w:name="z202" w:id="69"/>
    <w:p>
      <w:pPr>
        <w:spacing w:after="0"/>
        <w:ind w:left="0"/>
        <w:jc w:val="both"/>
      </w:pPr>
      <w:r>
        <w:rPr>
          <w:rFonts w:ascii="Times New Roman"/>
          <w:b w:val="false"/>
          <w:i w:val="false"/>
          <w:color w:val="000000"/>
          <w:sz w:val="28"/>
        </w:rPr>
        <w:t>
      12. В графах 10 и 11 указывается общая стоимость проекта, в том числе сумма, подлежащая субсидированию.</w:t>
      </w:r>
    </w:p>
    <w:bookmarkEnd w:id="69"/>
    <w:bookmarkStart w:name="z203" w:id="70"/>
    <w:p>
      <w:pPr>
        <w:spacing w:after="0"/>
        <w:ind w:left="0"/>
        <w:jc w:val="both"/>
      </w:pPr>
      <w:r>
        <w:rPr>
          <w:rFonts w:ascii="Times New Roman"/>
          <w:b w:val="false"/>
          <w:i w:val="false"/>
          <w:color w:val="000000"/>
          <w:sz w:val="28"/>
        </w:rPr>
        <w:t>
      13. В графе 12 указывается доля возмещения в соответствии с паспортом инвестиционного проекта.</w:t>
      </w:r>
    </w:p>
    <w:bookmarkEnd w:id="70"/>
    <w:bookmarkStart w:name="z204" w:id="71"/>
    <w:p>
      <w:pPr>
        <w:spacing w:after="0"/>
        <w:ind w:left="0"/>
        <w:jc w:val="both"/>
      </w:pPr>
      <w:r>
        <w:rPr>
          <w:rFonts w:ascii="Times New Roman"/>
          <w:b w:val="false"/>
          <w:i w:val="false"/>
          <w:color w:val="000000"/>
          <w:sz w:val="28"/>
        </w:rPr>
        <w:t>
      14. В графе 13 указывается сумма выплаченных субсидий.</w:t>
      </w:r>
    </w:p>
    <w:bookmarkEnd w:id="71"/>
    <w:bookmarkStart w:name="z205" w:id="72"/>
    <w:p>
      <w:pPr>
        <w:spacing w:after="0"/>
        <w:ind w:left="0"/>
        <w:jc w:val="both"/>
      </w:pPr>
      <w:r>
        <w:rPr>
          <w:rFonts w:ascii="Times New Roman"/>
          <w:b w:val="false"/>
          <w:i w:val="false"/>
          <w:color w:val="000000"/>
          <w:sz w:val="28"/>
        </w:rPr>
        <w:t>
      15. В графе 14 указывается дата ввода в эксплуатацию инвестиционного проекта.</w:t>
      </w:r>
    </w:p>
    <w:bookmarkEnd w:id="72"/>
    <w:bookmarkStart w:name="z206" w:id="73"/>
    <w:p>
      <w:pPr>
        <w:spacing w:after="0"/>
        <w:ind w:left="0"/>
        <w:jc w:val="both"/>
      </w:pPr>
      <w:r>
        <w:rPr>
          <w:rFonts w:ascii="Times New Roman"/>
          <w:b w:val="false"/>
          <w:i w:val="false"/>
          <w:color w:val="000000"/>
          <w:sz w:val="28"/>
        </w:rPr>
        <w:t>
      16. В графе 15 указываются дата и номер решения рабочего органа.</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