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009f" w14:textId="36b0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14 октября 2025 года № 371. Зарегистрирован в Министерстве юстиции Республики Казахстан 15 октября 2025 года № 37135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под № 17320)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"17. По заявкам текущего финансового года при наличии средств на выплату инвестиционных субсидий из местного бюджета в текущем финансовом году по решению администратора допустимо увеличение доли возмещения инвестиционных вложений по следующим паспортам проектов:</w:t>
      </w:r>
    </w:p>
    <w:bookmarkEnd w:id="3"/>
    <w:bookmarkStart w:name="z9" w:id="4"/>
    <w:p>
      <w:pPr>
        <w:spacing w:after="0"/>
        <w:ind w:left="0"/>
        <w:jc w:val="both"/>
      </w:pPr>
      <w:r>
        <w:rPr>
          <w:rFonts w:ascii="Times New Roman"/>
          <w:b w:val="false"/>
          <w:i w:val="false"/>
          <w:color w:val="000000"/>
          <w:sz w:val="28"/>
        </w:rPr>
        <w:t>
      до 50 (пятидесяти) %:</w:t>
      </w:r>
    </w:p>
    <w:bookmarkEnd w:id="4"/>
    <w:bookmarkStart w:name="z10" w:id="5"/>
    <w:p>
      <w:pPr>
        <w:spacing w:after="0"/>
        <w:ind w:left="0"/>
        <w:jc w:val="both"/>
      </w:pPr>
      <w:r>
        <w:rPr>
          <w:rFonts w:ascii="Times New Roman"/>
          <w:b w:val="false"/>
          <w:i w:val="false"/>
          <w:color w:val="000000"/>
          <w:sz w:val="28"/>
        </w:rPr>
        <w:t>
      по паспорту проекта № 1 "Приобретение сельскохозяйственной техники, машин и оборудования" для сельскохозяйственных кооперативов по следующим позициям: 2; 13.2; 14; 19; 25; 26; 28; 29; 30; 31; 36; 40; 42;</w:t>
      </w:r>
    </w:p>
    <w:bookmarkEnd w:id="5"/>
    <w:bookmarkStart w:name="z11" w:id="6"/>
    <w:p>
      <w:pPr>
        <w:spacing w:after="0"/>
        <w:ind w:left="0"/>
        <w:jc w:val="both"/>
      </w:pPr>
      <w:r>
        <w:rPr>
          <w:rFonts w:ascii="Times New Roman"/>
          <w:b w:val="false"/>
          <w:i w:val="false"/>
          <w:color w:val="000000"/>
          <w:sz w:val="28"/>
        </w:rPr>
        <w:t>
      по паспорту проекта № 1.1 "Приобретение приоритетных сельскохозяйственных машин и оборудования" для сельскохозяйственных кооперативов по следующим позициям: 1; 2; 5; 6; 7; 8; 10; 11;</w:t>
      </w:r>
    </w:p>
    <w:bookmarkEnd w:id="6"/>
    <w:bookmarkStart w:name="z12" w:id="7"/>
    <w:p>
      <w:pPr>
        <w:spacing w:after="0"/>
        <w:ind w:left="0"/>
        <w:jc w:val="both"/>
      </w:pPr>
      <w:r>
        <w:rPr>
          <w:rFonts w:ascii="Times New Roman"/>
          <w:b w:val="false"/>
          <w:i w:val="false"/>
          <w:color w:val="000000"/>
          <w:sz w:val="28"/>
        </w:rPr>
        <w:t>
      по паспорту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 для сельскохозяйственных кооперативов.</w:t>
      </w:r>
    </w:p>
    <w:bookmarkEnd w:id="7"/>
    <w:bookmarkStart w:name="z13" w:id="8"/>
    <w:p>
      <w:pPr>
        <w:spacing w:after="0"/>
        <w:ind w:left="0"/>
        <w:jc w:val="both"/>
      </w:pPr>
      <w:r>
        <w:rPr>
          <w:rFonts w:ascii="Times New Roman"/>
          <w:b w:val="false"/>
          <w:i w:val="false"/>
          <w:color w:val="000000"/>
          <w:sz w:val="28"/>
        </w:rPr>
        <w:t>
      При этом, один сельскохозяйственный кооператив получает инвестиционные субсидии на приобретенную (приобретаемую) технику, машины и оборудование, до:</w:t>
      </w:r>
    </w:p>
    <w:bookmarkEnd w:id="8"/>
    <w:bookmarkStart w:name="z14" w:id="9"/>
    <w:p>
      <w:pPr>
        <w:spacing w:after="0"/>
        <w:ind w:left="0"/>
        <w:jc w:val="both"/>
      </w:pPr>
      <w:r>
        <w:rPr>
          <w:rFonts w:ascii="Times New Roman"/>
          <w:b w:val="false"/>
          <w:i w:val="false"/>
          <w:color w:val="000000"/>
          <w:sz w:val="28"/>
        </w:rPr>
        <w:t>
      трех тракторов с соответствующим количеством прицепного и навесного оборудования;</w:t>
      </w:r>
    </w:p>
    <w:bookmarkEnd w:id="9"/>
    <w:bookmarkStart w:name="z15" w:id="10"/>
    <w:p>
      <w:pPr>
        <w:spacing w:after="0"/>
        <w:ind w:left="0"/>
        <w:jc w:val="both"/>
      </w:pPr>
      <w:r>
        <w:rPr>
          <w:rFonts w:ascii="Times New Roman"/>
          <w:b w:val="false"/>
          <w:i w:val="false"/>
          <w:color w:val="000000"/>
          <w:sz w:val="28"/>
        </w:rPr>
        <w:t>
      двух зерноуборочных комбайнов и соответствующего количества навесного и прицепного оборудования;</w:t>
      </w:r>
    </w:p>
    <w:bookmarkEnd w:id="10"/>
    <w:bookmarkStart w:name="z16" w:id="11"/>
    <w:p>
      <w:pPr>
        <w:spacing w:after="0"/>
        <w:ind w:left="0"/>
        <w:jc w:val="both"/>
      </w:pPr>
      <w:r>
        <w:rPr>
          <w:rFonts w:ascii="Times New Roman"/>
          <w:b w:val="false"/>
          <w:i w:val="false"/>
          <w:color w:val="000000"/>
          <w:sz w:val="28"/>
        </w:rPr>
        <w:t>
      двух автомобилей для перевозки грузов сельскохозяйственного назначения и прицепа самосвального.</w:t>
      </w:r>
    </w:p>
    <w:bookmarkEnd w:id="11"/>
    <w:bookmarkStart w:name="z17" w:id="12"/>
    <w:p>
      <w:pPr>
        <w:spacing w:after="0"/>
        <w:ind w:left="0"/>
        <w:jc w:val="both"/>
      </w:pPr>
      <w:r>
        <w:rPr>
          <w:rFonts w:ascii="Times New Roman"/>
          <w:b w:val="false"/>
          <w:i w:val="false"/>
          <w:color w:val="000000"/>
          <w:sz w:val="28"/>
        </w:rPr>
        <w:t>
      Для сельскохозяйственных кооперативов не распространяется требование по минимальному нормативу на одну единицу техники (гектар/ условная голова крупного рогатого скота).</w:t>
      </w:r>
    </w:p>
    <w:bookmarkEnd w:id="12"/>
    <w:bookmarkStart w:name="z18" w:id="13"/>
    <w:p>
      <w:pPr>
        <w:spacing w:after="0"/>
        <w:ind w:left="0"/>
        <w:jc w:val="both"/>
      </w:pPr>
      <w:r>
        <w:rPr>
          <w:rFonts w:ascii="Times New Roman"/>
          <w:b w:val="false"/>
          <w:i w:val="false"/>
          <w:color w:val="000000"/>
          <w:sz w:val="28"/>
        </w:rPr>
        <w:t>
      По паспорту проекта № 4 "Создание инфраструктуры обводнения пастбищ и обеспечения водой животноводческих хозяйств (колодцы, скважины)" в Мангистауской области:</w:t>
      </w:r>
    </w:p>
    <w:bookmarkEnd w:id="13"/>
    <w:bookmarkStart w:name="z19" w:id="14"/>
    <w:p>
      <w:pPr>
        <w:spacing w:after="0"/>
        <w:ind w:left="0"/>
        <w:jc w:val="both"/>
      </w:pPr>
      <w:r>
        <w:rPr>
          <w:rFonts w:ascii="Times New Roman"/>
          <w:b w:val="false"/>
          <w:i w:val="false"/>
          <w:color w:val="000000"/>
          <w:sz w:val="28"/>
        </w:rPr>
        <w:t>
      до 80 (восьмидесяти) % на бурение колодцев, скважин.";</w:t>
      </w:r>
    </w:p>
    <w:bookmarkEnd w:id="14"/>
    <w:bookmarkStart w:name="z20" w:id="15"/>
    <w:p>
      <w:pPr>
        <w:spacing w:after="0"/>
        <w:ind w:left="0"/>
        <w:jc w:val="both"/>
      </w:pPr>
      <w:r>
        <w:rPr>
          <w:rFonts w:ascii="Times New Roman"/>
          <w:b w:val="false"/>
          <w:i w:val="false"/>
          <w:color w:val="000000"/>
          <w:sz w:val="28"/>
        </w:rPr>
        <w:t>
      в пункте 23:</w:t>
      </w:r>
    </w:p>
    <w:bookmarkEnd w:id="15"/>
    <w:bookmarkStart w:name="z21" w:id="16"/>
    <w:p>
      <w:pPr>
        <w:spacing w:after="0"/>
        <w:ind w:left="0"/>
        <w:jc w:val="both"/>
      </w:pPr>
      <w:r>
        <w:rPr>
          <w:rFonts w:ascii="Times New Roman"/>
          <w:b w:val="false"/>
          <w:i w:val="false"/>
          <w:color w:val="000000"/>
          <w:sz w:val="28"/>
        </w:rPr>
        <w:t>
      подпункт 9) исключить;</w:t>
      </w:r>
    </w:p>
    <w:bookmarkEnd w:id="16"/>
    <w:bookmarkStart w:name="z22" w:id="17"/>
    <w:p>
      <w:pPr>
        <w:spacing w:after="0"/>
        <w:ind w:left="0"/>
        <w:jc w:val="both"/>
      </w:pPr>
      <w:r>
        <w:rPr>
          <w:rFonts w:ascii="Times New Roman"/>
          <w:b w:val="false"/>
          <w:i w:val="false"/>
          <w:color w:val="000000"/>
          <w:sz w:val="28"/>
        </w:rPr>
        <w:t>
      подпункт 10) изложить в следующей редакции:</w:t>
      </w:r>
    </w:p>
    <w:bookmarkEnd w:id="17"/>
    <w:bookmarkStart w:name="z23" w:id="18"/>
    <w:p>
      <w:pPr>
        <w:spacing w:after="0"/>
        <w:ind w:left="0"/>
        <w:jc w:val="both"/>
      </w:pPr>
      <w:r>
        <w:rPr>
          <w:rFonts w:ascii="Times New Roman"/>
          <w:b w:val="false"/>
          <w:i w:val="false"/>
          <w:color w:val="000000"/>
          <w:sz w:val="28"/>
        </w:rPr>
        <w:t>
      "10) по паспорту проекта № 4 дополнительно:</w:t>
      </w:r>
    </w:p>
    <w:bookmarkEnd w:id="18"/>
    <w:bookmarkStart w:name="z24" w:id="19"/>
    <w:p>
      <w:pPr>
        <w:spacing w:after="0"/>
        <w:ind w:left="0"/>
        <w:jc w:val="both"/>
      </w:pPr>
      <w:r>
        <w:rPr>
          <w:rFonts w:ascii="Times New Roman"/>
          <w:b w:val="false"/>
          <w:i w:val="false"/>
          <w:color w:val="000000"/>
          <w:sz w:val="28"/>
        </w:rPr>
        <w:t>
      копию документа, подтверждающего государственную регистрацию прав на водохозяйственное сооружение;</w:t>
      </w:r>
    </w:p>
    <w:bookmarkEnd w:id="19"/>
    <w:bookmarkStart w:name="z25" w:id="20"/>
    <w:p>
      <w:pPr>
        <w:spacing w:after="0"/>
        <w:ind w:left="0"/>
        <w:jc w:val="both"/>
      </w:pPr>
      <w:r>
        <w:rPr>
          <w:rFonts w:ascii="Times New Roman"/>
          <w:b w:val="false"/>
          <w:i w:val="false"/>
          <w:color w:val="000000"/>
          <w:sz w:val="28"/>
        </w:rPr>
        <w:t>
      по колодцам (скважинам) для пустынных и полупустынных зон – копию сведений о качественном состоянии земельного участка с указанием принадлежности к природным зонам;</w:t>
      </w:r>
    </w:p>
    <w:bookmarkEnd w:id="20"/>
    <w:bookmarkStart w:name="z26" w:id="21"/>
    <w:p>
      <w:pPr>
        <w:spacing w:after="0"/>
        <w:ind w:left="0"/>
        <w:jc w:val="both"/>
      </w:pPr>
      <w:r>
        <w:rPr>
          <w:rFonts w:ascii="Times New Roman"/>
          <w:b w:val="false"/>
          <w:i w:val="false"/>
          <w:color w:val="000000"/>
          <w:sz w:val="28"/>
        </w:rPr>
        <w:t xml:space="preserve">
      копию технического паспорта водозаборной скважины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исполняющего обязанности Министра водных ресурсов и ирригации Республики Казахстан от 10 июля 2025 года № 170-НҚ "Об утверждении Правил проведения паспортизации водохозяйственных и гидротехнических сооружений, а также формы паспорта водохозяйственных и гидротехнических сооружений" (зарегистрирован в Реестре государственной регистрации нормативных правовых актов № 36439);</w:t>
      </w:r>
    </w:p>
    <w:bookmarkEnd w:id="21"/>
    <w:bookmarkStart w:name="z27" w:id="22"/>
    <w:p>
      <w:pPr>
        <w:spacing w:after="0"/>
        <w:ind w:left="0"/>
        <w:jc w:val="both"/>
      </w:pPr>
      <w:r>
        <w:rPr>
          <w:rFonts w:ascii="Times New Roman"/>
          <w:b w:val="false"/>
          <w:i w:val="false"/>
          <w:color w:val="000000"/>
          <w:sz w:val="28"/>
        </w:rPr>
        <w:t>
      копии электронных счет-фактур, платежных документов, подтверждающих факт оплаты инвестором (услугополучателем) услуг подрядной организации по строительству и бурению колодцев (скважин), а также стоимость труб с указанием его толщины и диаметра;</w:t>
      </w:r>
    </w:p>
    <w:bookmarkEnd w:id="22"/>
    <w:bookmarkStart w:name="z28" w:id="23"/>
    <w:p>
      <w:pPr>
        <w:spacing w:after="0"/>
        <w:ind w:left="0"/>
        <w:jc w:val="both"/>
      </w:pPr>
      <w:r>
        <w:rPr>
          <w:rFonts w:ascii="Times New Roman"/>
          <w:b w:val="false"/>
          <w:i w:val="false"/>
          <w:color w:val="000000"/>
          <w:sz w:val="28"/>
        </w:rPr>
        <w:t>
      копию заключенного договора с подрядчиком;</w:t>
      </w:r>
    </w:p>
    <w:bookmarkEnd w:id="23"/>
    <w:bookmarkStart w:name="z29" w:id="24"/>
    <w:p>
      <w:pPr>
        <w:spacing w:after="0"/>
        <w:ind w:left="0"/>
        <w:jc w:val="both"/>
      </w:pPr>
      <w:r>
        <w:rPr>
          <w:rFonts w:ascii="Times New Roman"/>
          <w:b w:val="false"/>
          <w:i w:val="false"/>
          <w:color w:val="000000"/>
          <w:sz w:val="28"/>
        </w:rPr>
        <w:t>
      копии лицензии подрядчика на строительно-монтажные работы по подвиду буровые работы в грунте, а также на изыскательскую деятельность по подвиду полевые исследования грунтов, гидрогеологические исследования;";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33" w:id="25"/>
    <w:p>
      <w:pPr>
        <w:spacing w:after="0"/>
        <w:ind w:left="0"/>
        <w:jc w:val="both"/>
      </w:pPr>
      <w:r>
        <w:rPr>
          <w:rFonts w:ascii="Times New Roman"/>
          <w:b w:val="false"/>
          <w:i w:val="false"/>
          <w:color w:val="000000"/>
          <w:sz w:val="28"/>
        </w:rPr>
        <w:t>
      2. Установить, что пункт 14 Правил с 1 января 2026 года действует в следующей редакции:</w:t>
      </w:r>
    </w:p>
    <w:bookmarkEnd w:id="25"/>
    <w:bookmarkStart w:name="z34" w:id="26"/>
    <w:p>
      <w:pPr>
        <w:spacing w:after="0"/>
        <w:ind w:left="0"/>
        <w:jc w:val="both"/>
      </w:pPr>
      <w:r>
        <w:rPr>
          <w:rFonts w:ascii="Times New Roman"/>
          <w:b w:val="false"/>
          <w:i w:val="false"/>
          <w:color w:val="000000"/>
          <w:sz w:val="28"/>
        </w:rPr>
        <w:t>
      "14. Подтверждение приобретенных товаров, работ и услуг электронными счет-фактурами осуществляется посредством информационной системы электронных счет-фактур (за исключением приобретения товаров в финансовый лизинг). Расходы, осуществленные до 1 января 2020 года, подтверждаются бумажными счет-фактурами.</w:t>
      </w:r>
    </w:p>
    <w:bookmarkEnd w:id="26"/>
    <w:bookmarkStart w:name="z35" w:id="27"/>
    <w:p>
      <w:pPr>
        <w:spacing w:after="0"/>
        <w:ind w:left="0"/>
        <w:jc w:val="both"/>
      </w:pPr>
      <w:r>
        <w:rPr>
          <w:rFonts w:ascii="Times New Roman"/>
          <w:b w:val="false"/>
          <w:i w:val="false"/>
          <w:color w:val="000000"/>
          <w:sz w:val="28"/>
        </w:rPr>
        <w:t xml:space="preserve">
      При приобретении сельскохозяйственным товаропроизводителем (сельскохозяйственным кооперативом) техники, машин и/или оборудования напрямую у иностранного производителя, не использующего информационную систему электронных счетов-фактур, затраты на приобретение подтверждаются таможенной декларацией на товары (из третьих стран, не являющихся членами Евразийского экономического союза)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530 Налогового кодекса Республики Казахстан (далее – Налоговый кодекс) (с территории государств-членов Евразийского экономического союза).".</w:t>
      </w:r>
    </w:p>
    <w:bookmarkEnd w:id="27"/>
    <w:bookmarkStart w:name="z36" w:id="28"/>
    <w:p>
      <w:pPr>
        <w:spacing w:after="0"/>
        <w:ind w:left="0"/>
        <w:jc w:val="both"/>
      </w:pPr>
      <w:r>
        <w:rPr>
          <w:rFonts w:ascii="Times New Roman"/>
          <w:b w:val="false"/>
          <w:i w:val="false"/>
          <w:color w:val="000000"/>
          <w:sz w:val="28"/>
        </w:rPr>
        <w:t>
      3.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28"/>
    <w:bookmarkStart w:name="z37" w:id="2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9"/>
    <w:bookmarkStart w:name="z38" w:id="30"/>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сельского хозяйства Республики Казахстан после его официального опубликования.</w:t>
      </w:r>
    </w:p>
    <w:bookmarkEnd w:id="30"/>
    <w:bookmarkStart w:name="z39" w:id="3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31"/>
    <w:bookmarkStart w:name="z40" w:id="3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42"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3"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4"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5"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6" w:id="37"/>
      <w:r>
        <w:rPr>
          <w:rFonts w:ascii="Times New Roman"/>
          <w:b w:val="false"/>
          <w:i w:val="false"/>
          <w:color w:val="000000"/>
          <w:sz w:val="28"/>
        </w:rPr>
        <w:t>
      "СОГЛАСОВАН"</w:t>
      </w:r>
    </w:p>
    <w:bookmarkEnd w:id="3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7"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2025 года №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50" w:id="39"/>
    <w:p>
      <w:pPr>
        <w:spacing w:after="0"/>
        <w:ind w:left="0"/>
        <w:jc w:val="left"/>
      </w:pPr>
      <w:r>
        <w:rPr>
          <w:rFonts w:ascii="Times New Roman"/>
          <w:b/>
          <w:i w:val="false"/>
          <w:color w:val="000000"/>
        </w:rPr>
        <w:t xml:space="preserve"> Перечень основного или вторичного вида деятельности для субъекта предпринимательства, осуществляющего инвестиционные вложения и занимающийся производством и (или) переработкой сельскохозяйственной продукции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w:t>
            </w:r>
          </w:p>
          <w:p>
            <w:pPr>
              <w:spacing w:after="20"/>
              <w:ind w:left="20"/>
              <w:jc w:val="both"/>
            </w:pPr>
            <w:r>
              <w:rPr>
                <w:rFonts w:ascii="Times New Roman"/>
                <w:b w:val="false"/>
                <w:i w:val="false"/>
                <w:color w:val="000000"/>
                <w:sz w:val="20"/>
              </w:rPr>
              <w:t>экономической деятельности</w:t>
            </w:r>
          </w:p>
          <w:p>
            <w:pPr>
              <w:spacing w:after="20"/>
              <w:ind w:left="20"/>
              <w:jc w:val="both"/>
            </w:pPr>
            <w:r>
              <w:rPr>
                <w:rFonts w:ascii="Times New Roman"/>
                <w:b w:val="false"/>
                <w:i w:val="false"/>
                <w:color w:val="000000"/>
                <w:sz w:val="20"/>
              </w:rPr>
              <w:t>(код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бахчевых, корнеплодов и клубнеплодов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прочего крупного рогатого скота и буйволов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животных семейства лошадиных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прочих животных семейства верблюжьих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сельскохозяйственной птицы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сельское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пряностей и приправ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пищевых продуктов, не включенных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сельскохозяйственных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шерстяного волокна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Прядение шерстяного волокна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шерстяных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валяльно-войлочных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биоэтанола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зерна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овощей и фруктов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органических химических веществ, не включенных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2025 года №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53" w:id="40"/>
    <w:p>
      <w:pPr>
        <w:spacing w:after="0"/>
        <w:ind w:left="0"/>
        <w:jc w:val="left"/>
      </w:pPr>
      <w:r>
        <w:rPr>
          <w:rFonts w:ascii="Times New Roman"/>
          <w:b/>
          <w:i w:val="false"/>
          <w:color w:val="000000"/>
        </w:rPr>
        <w:t xml:space="preserve"> Перечень паспортов проектов</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сельскохозяйственной техники,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приоритетных сельскохозяйственных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навесной и прицепной сельскохозяйственной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селекционно-семеноводческой техники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семяочистительно-сортировального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откорма скота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скота/коз молочного направления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убоя скота и переработки мяса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пункта заготовки шерсти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предприятий по переработке шкур и шерсти сельскохозяйственных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тепличного комплекса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от 5 гектаров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от 5 гектаров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производства мяса птицы мощностью от 5 тысяч тонн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селекционно-гибридного центра с мощностью получения и выращивания от 1200 гибридных свиноматок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расширение объектов для выращивания свиней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комбикормового завода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переработки птичьего помета, мощностью 50 тонн/сутки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племенного репродуктора в птицеводстве яичного и мясного направления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зернохранилищ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картофеле-овощехранилищ от 1 000 тонн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фруктохранилищ от 1 000 тонн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переработке плодов/овощей/бахчевых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по переработке картофеля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масложировой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продуктов переработки зерновых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глубокой переработке растениеводческой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сахара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предприятия по производству хлебобулочных и/или кондитерских изделий мощностью от 2 000 тонн продукции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яичных птицефабрик с увеличением производственной мощности от 50 миллионов яиц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агрохимических лабораторий по анализу почв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завода по переработке куриного яйца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2025 года №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56" w:id="41"/>
    <w:p>
      <w:pPr>
        <w:spacing w:after="0"/>
        <w:ind w:left="0"/>
        <w:jc w:val="left"/>
      </w:pPr>
      <w:r>
        <w:rPr>
          <w:rFonts w:ascii="Times New Roman"/>
          <w:b/>
          <w:i w:val="false"/>
          <w:color w:val="000000"/>
        </w:rPr>
        <w:t xml:space="preserve"> Перечень паспортов проектов, подлежащих субсидированию</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gridCol w:w="164"/>
      </w:tblGrid>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 "Приобретение сельскохозяйственной техники, машин и оборудования"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на одну единицу техники, гектар/условных голов крупного рогатого скота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Свеклоуборочный комбайн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457 733 000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Рисоуборочный комбайн от 80 лошадиных сил (включительно) на гусеничном ходу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 мощностью от 201 лошадиных сил (включительно)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однорядный прицепной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двухрядный (трехрядный) прицепной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уборки кукурузы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комбайн для сбора ягодных культур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Протравитель семян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Зернопогрузчики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Зернометатели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полей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лазерный планировщик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скрепер-планировщик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 роторная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тюковоз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грубых кормов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 жатка, самоходная косилка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кормоуборочная жатка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 валкоукладчик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 с емкостью ковша до 1,8 кубических метра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 (мобильная зерносушилка) от 49-145 тонн в сутки (включительно)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 (прицепная):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 удобрений: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10 тонн (включительно)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10,1-25 тонн (включительно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25,1 тонн (включительно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Камнеуборочная машина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самосвал с колесной формулой 6х4, с объемом двигателя от 10,90 литра до 15,0 литра, с двусторонним или трехсторонним типом разгрузки самосвальной платформы для перевозки сельскохозяйственных и прочих инертных грузов**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самосвальный с двусторонним типом разгрузки самосвальной платформы, для перевозки сельскохозяйственных и прочих инертных грузов, с двускатной ошиновкой, полной массой не более 16000 килограммов**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кормораздатчик-измельчитель-измельчитель (емкостью не менее 2,2 кубических метра)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зерна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Картофелекопалка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гербицидник между рядами с объемом бака 600 литров и более***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садовый объемом 2000 литров***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Пересадчик для открытия/закрытия с 2 дисками***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выкопочный***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Гребнеобразующая фреза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для пастбищ (генератор электропастуха, понижающий трансформатор, изоляторы, проволока не менее 2 рядов)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голов</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Прицеп-сеновоз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авиационные системы (БАС) сельскохозяйственные многофункциональные (для распыления пестицидов, разбрасывания семян, удобрений и других)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вентиляторный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 с шириной захвата 20 – 100 метров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 с шириной захвата 20 – 100 метров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Шарнирная сетка для ограждения сельскохозяйственных земель от потравы сайгаками*****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погонный метр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Столбы (металлические или бетонные) для фиксации шарнирной сетки для ограждения сельскохозяйственных земель от потравы сайгаками*****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В случае приобретения автомобиля для перевозки грузов сельскохозяйственного назначения необходим наличие земельной площади не менее 120 гектаров;</w:t>
            </w:r>
          </w:p>
          <w:p>
            <w:pPr>
              <w:spacing w:after="20"/>
              <w:ind w:left="20"/>
              <w:jc w:val="both"/>
            </w:pPr>
            <w:r>
              <w:rPr>
                <w:rFonts w:ascii="Times New Roman"/>
                <w:b w:val="false"/>
                <w:i w:val="false"/>
                <w:color w:val="000000"/>
                <w:sz w:val="20"/>
              </w:rPr>
              <w:t>
** позиции 32, 33 субсидируются за счет средств из местного бюджета.</w:t>
            </w:r>
          </w:p>
          <w:p>
            <w:pPr>
              <w:spacing w:after="20"/>
              <w:ind w:left="20"/>
              <w:jc w:val="both"/>
            </w:pPr>
            <w:r>
              <w:rPr>
                <w:rFonts w:ascii="Times New Roman"/>
                <w:b w:val="false"/>
                <w:i w:val="false"/>
                <w:color w:val="000000"/>
                <w:sz w:val="20"/>
              </w:rPr>
              <w:t>
*** субсидируется техника, приобретенная для закладки маточников многолетних насаждений плодово-ягодных культур и винограда.</w:t>
            </w:r>
          </w:p>
          <w:p>
            <w:pPr>
              <w:spacing w:after="20"/>
              <w:ind w:left="20"/>
              <w:jc w:val="both"/>
            </w:pPr>
            <w:r>
              <w:rPr>
                <w:rFonts w:ascii="Times New Roman"/>
                <w:b w:val="false"/>
                <w:i w:val="false"/>
                <w:color w:val="000000"/>
                <w:sz w:val="20"/>
              </w:rPr>
              <w:t>
**** максимальная допустимая стоимость ограждения для пастбищ не должна превышать 16 миллионов тенге на 1000 гектаров. Для расчета субсидии самоходной техники и машин в проекте паспортов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 позиции 46, 47 субсидируются за счет средств из местного бюджета.</w:t>
            </w:r>
          </w:p>
          <w:p>
            <w:pPr>
              <w:spacing w:after="20"/>
              <w:ind w:left="20"/>
              <w:jc w:val="both"/>
            </w:pPr>
            <w:r>
              <w:rPr>
                <w:rFonts w:ascii="Times New Roman"/>
                <w:b w:val="false"/>
                <w:i w:val="false"/>
                <w:color w:val="000000"/>
                <w:sz w:val="20"/>
              </w:rPr>
              <w:t>
Диаметр проволоки сетки не менее 2,5 миллиметра, высота сетки не менее 1,6 метра.</w:t>
            </w:r>
          </w:p>
          <w:p>
            <w:pPr>
              <w:spacing w:after="20"/>
              <w:ind w:left="20"/>
              <w:jc w:val="both"/>
            </w:pPr>
            <w:r>
              <w:rPr>
                <w:rFonts w:ascii="Times New Roman"/>
                <w:b w:val="false"/>
                <w:i w:val="false"/>
                <w:color w:val="000000"/>
                <w:sz w:val="20"/>
              </w:rPr>
              <w:t>
Размеры ячейки сетки: ширина не более 100 миллиметров, высота не более 75 миллиметров.</w:t>
            </w:r>
          </w:p>
          <w:p>
            <w:pPr>
              <w:spacing w:after="20"/>
              <w:ind w:left="20"/>
              <w:jc w:val="both"/>
            </w:pPr>
            <w:r>
              <w:rPr>
                <w:rFonts w:ascii="Times New Roman"/>
                <w:b w:val="false"/>
                <w:i w:val="false"/>
                <w:color w:val="000000"/>
                <w:sz w:val="20"/>
              </w:rPr>
              <w:t>
Расстояние между столбами не более 3-5 метров.</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"Приобретение приоритетных сельскохозяйственных машин и оборудования" *</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приоритетных сельскохозяйственных машин и оборудования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59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60 до 84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85 до 129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130 до 140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141 до 160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161 до 180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181 до 300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301 до 430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431 до 539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181 685 000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540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 с двигателем PowerTech™, и/или системой телематики JDLink™, и/или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мощностью до 129 лошадиных сил (включительно)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130 до 150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151 до 220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221 до 279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280 до 430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431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201 - 400 лошадиных сил</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 с двигателем PowerTech™, системой телематики JDLink™,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539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540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249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250 до 299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300 до 359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360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 с двигателем PowerTech™ и/или системой телематики JDLink™, и/или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299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300 до 449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450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(кормоуборочный) комбайн: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200 до 449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(кормоуборочный) комбайн: с двигателем PowerTech™ и системой телематики JDLink™, компонентами пропускного тракта с технологией Dura Line™.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500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501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 с двигателем PowerTech™ и (или) системой телематики JDLink™, с рядковыми элементами по сбору хлопка PRO12 или MR16 или MR12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500 лошадиных сил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501 лошадиных сил (включительно)</w:t>
            </w:r>
          </w:p>
          <w:p>
            <w:pPr>
              <w:spacing w:after="20"/>
              <w:ind w:left="20"/>
              <w:jc w:val="both"/>
            </w:pPr>
            <w:r>
              <w:rPr>
                <w:rFonts w:ascii="Times New Roman"/>
                <w:b w:val="false"/>
                <w:i w:val="false"/>
                <w:color w:val="000000"/>
                <w:sz w:val="20"/>
              </w:rPr>
              <w:t>
(с двигателем PowerTech™ и системой телематики JDLink™, рядковые элементы по сбору хлопка MR16 и cо встроенной автоматической камерой прессования хлопка и упаковки в рулоны, покрытые пленкой TamaWrap+™ и системой контроля процесса тюкования Cotton Pro (HID, Cotton Pro), с монитором управления CommandCenter™ G5Plus, функцией автоматического вождения по рядкам AutoTrac™ RowSense™</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посева зерна и зернобобовых культур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 сеялка/посевной комплекс: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15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15,1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со стойками для сошников TruPosition™ или сошниками ConservaPak™ или сошниками ProSeries™, система контроля забивания семяпроводов RelativeFlow™. Бункер для семян из пластика, конвейерный тип транспортера, высевающий аппарат с дозирующими высевающими катушками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пневматическая сеялка /посевной комплекс: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15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15,1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зерновая сеялка с двухдисковым сошником или сошником ProSeries™, комбинированным бункером для семян и удобрений</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точного высева с высевающей секцией MaxEmerge или ExactEmerge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24 рядов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рядов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тонн в час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20,1-40 тонн в час (включительно)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40,1 тонн в 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зерна и семян: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предварительной очистки зерна до 150 тонн в 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очистки зерна барабанного типа до 60 тонн в 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и вторичной очистки зерна с плоскорешетными станами от 40 до 60 тонн в 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и вторичной очистки зерна с плоскорешетными станами от 60 до 120 тонн в 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 ленточный, производительность от 100-до 200 тонн в 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 скребковый, производительность от 100-до 200 тонн в 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(элеватор) зерновая, производительность от 50-до 200 тонн в 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15 491 840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Аэродинамическая сортировальная машина, производительность от 10 до 30 тонн в 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пневмосортировальный, производительность до 10 тонн в 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Винтовой конвейер производительность 60 тонн/час длина 8 м</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Триерный блок, производительность от 8 до 12 тонн в 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2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2,1-4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4,1 метра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20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кольчато-шпоровый/зубчатый каток гладкий водоналивной</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5-9,9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культиватор со стойками TruPosition™ и тандемные колҰса для копирования рельефа Walk-Over, и (или) с регулировкой глубины в одной точке Single Point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5-9,9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почвообрабатывающий, комбинированное орудие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8,9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 метра: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 с мотовилом с композитными пальцами и/или c системой автоматической скорости мотовила Dial-a-Speed и/или с системой копирования рельефа Active Header Control/HydroFlex/Active Header Float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7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7,1 до 8,9 метра: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 до 12,9 метра: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от13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для комбайна с контролем управления высоты - cистема копирования рельефа HCU/AHC, пластиковыми пальцами ленты подборщика, системой автоматической скорости ленты Dial-a-Speed и/или системой амортизации FieldGlide</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 с технологией контроля глубины TruSet™ и (или) с регулировкой глубины в одной точке Single Рoint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щелеватель</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 ворошилки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поперечные гидравлические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9,9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снегопах, валкообразователь, валкоукладчик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 совместимый с тракторами оборудованных функцией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 с фиксированной камерой прессования, с системой предварительного измельчения MaxiCut HC 2,2 м или со стандартным подборщиком 1,79 м</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 с системой регулировки смещения, централизованная система смазки узловязателей; очистной вентилятор узловязателя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зеленых кормов (для силоса, сенажа): с упаковкой в пленку и внесением консервантов B-Wrap, с системой взвешивания и измерением влажности и система контроля параметров работы СommandCenter, уникальная система обвязки CoverEdge</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100 070 000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3,9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4-5,9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косилки с навигационной системой AutoTrac™, системой автоматической скорости мотовила Dial-a-Speed, системой передвижения столов и автоматическим реверсированием лент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1501-2400 литров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2401 литра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опрыскивающего оборудования (для установки на транспортное шасси)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опрыскиватель: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 с системой распыления раствора с функциями AutoFill и AutoDiluter системой стабилизации штанги BoomTrac™ или TerrainControl Pro™/TerrainCommand Pro™, дисплей управления системами CommandCenter™</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с двигателем PowerTech™ и системой телематики JDLink™, система стабилизации штанги BoomTrac™ или TerrainControl Pro™ / Terrain Command Pro™, навигационной системой AutoTrac™, дисплей управления системами Command Center™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до 3000 литров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3001 до 5999 литра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6000 литра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смешивающий комплекс для средств защиты растений, производительность насоса от 200 до 2000 литров в минуту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Смешивающий комплекс для средств защиты растений, производительность насоса от 200 до 2000 литров в минуту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 машина для внесения жидких удобрений, объем до 8001 литров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разбрасыватель удобрений с двигателем PowerTech™ и системой телематики JDLink™, навигационной системой AutoTrac™, дисплей управления системами CommandCenter™</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для расчета субсидии самоходной техники и машин в проекте паспортов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 в максимальной допустимой стоимости для расчета субсидий на зерноуборочные комбайны предусмотрена стоимость жатки и (или) платформа подборщика. В случае приобретения зерноуборочного комбайна без жатки и (или) платформа подборщика допускается расчет субсидии, без учета стоимости жатки и (или) платформа подборщика.</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"Приобретение навесной и прицепной сельскохозяйственной техники"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для посева зерна и зернобобовых культур: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3 метров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3.1 метров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Пневматическая/посевной комплекс:</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6 метров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6.1-12 метров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12.1 метров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4,0 метров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4,1 метров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6,0 метров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12 метров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12,1-20 метров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метров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6-9 метров:</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9,1 метра:</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 косилки дисковая: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8 метров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8,1 метров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до 4,0 метров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от 4,1 метров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*субсидирование осуществляется по технике, машинам и оборудованию, приобретенным до 25 мая 2024 года (включительно).</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 "Приобретение селекционно-семеноводческой техники и оборудования" *</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техники/оборудования, тенге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комбайны**: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 с системой взвешивания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75 лошадиных сил</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115 лошадиных сил с системой взвешивания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 с системой взвешивания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сеялки**: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пунктирного посева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сеялка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селекционно-семеноводческое оборудование:</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малых партий семян до 3 килограммов</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партий семян от 10 килограмм производительностью до 50 килограммов/час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производительностью до 300 килограммов /час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для отдельных колосков и малых снопов</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однопочатковая молотилка производительностью до 300 килограммов /час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2 подбарабаньями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 проб для раздела проб зерна на 6 частей</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счетчик семян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измельчитель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посевного материала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машина для бережной очистки и сортировки семян до 50 килограммов/час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xml:space="preserve">
* Субсидируются техника и оборудование, приобретенные аттестованными производителями оригинальных семян и элитно-семеноводческими хозяйствами, осуществляющими деятельность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семеноводстве" (далее – Закон о семеноводстве).</w:t>
            </w:r>
          </w:p>
          <w:p>
            <w:pPr>
              <w:spacing w:after="20"/>
              <w:ind w:left="20"/>
              <w:jc w:val="both"/>
            </w:pPr>
            <w:r>
              <w:rPr>
                <w:rFonts w:ascii="Times New Roman"/>
                <w:b w:val="false"/>
                <w:i w:val="false"/>
                <w:color w:val="000000"/>
                <w:sz w:val="20"/>
              </w:rPr>
              <w:t>
** Селекционная техника субсидируется с учетом площади питомников испытания потомств и питомников размножения, имеющихся у аттестованных производителей оригинальных семян и элитно-семеноводческих хозяйств. Одна единица селекционной техники рассчитывается на каждые 20 гектаров площади питомников испытания потомств и питомников размножения. Субсидирование следующей единицы техники одного вида допускается при превышении площади на 50 % от установленного норматива.</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 "Приобретение семяочистительно-сортировального оборудования"*</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оборудования,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(первичный сепаратор, решетный стан, вторичный сепаратор, фотосепаратор**, дражератор**, триерный блок, пневмостол), очистки рабочей поверхности решет, транспортировки (транспортеры, нории, цепные и ленточные транспортеры, комплект самотечных труб, аспирационные трубы, перекидные клапана, распределитель для автоотгрузки), протравливатель**, затаривания в мешки**, автоматизации комплекса (пульт управления и кабельный материал).</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Республики Казахстан, Стран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Республики Казахстан, Стран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Республики Казахстан, Стран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Субсидируется оборудование, приобретенное аттестованными производителями оригинальных семян, элитно-семеноводческими и семеноводческими хозяйствами, осуществляющими деятельность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о семеноводстве;</w:t>
            </w:r>
          </w:p>
          <w:p>
            <w:pPr>
              <w:spacing w:after="20"/>
              <w:ind w:left="20"/>
              <w:jc w:val="both"/>
            </w:pPr>
            <w:r>
              <w:rPr>
                <w:rFonts w:ascii="Times New Roman"/>
                <w:b w:val="false"/>
                <w:i w:val="false"/>
                <w:color w:val="000000"/>
                <w:sz w:val="20"/>
              </w:rPr>
              <w:t>
** приобретение оборудования при необходимости.</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4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объекта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водопойного пункта (один из нижеследующих):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 (вне зависимости от глубины колодца предельная глубина для субсидирования составляет не более 20 метров)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 с предельно допустимой глубиной подлежащей субсидированию – не более 50 метров;</w:t>
            </w:r>
          </w:p>
        </w:tc>
        <w:tc>
          <w:tcPr>
            <w:tcW w:w="0" w:type="auto"/>
            <w:gridSpan w:val="5"/>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пустынных и полупустынных зон – не более 375 метров</w:t>
            </w:r>
          </w:p>
        </w:tc>
        <w:tc>
          <w:tcPr>
            <w:tcW w:w="0" w:type="auto"/>
            <w:gridSpan w:val="5"/>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*Площадь обводнения одного колодца составляет до 2 000 гектаров пастбищ.</w:t>
            </w:r>
          </w:p>
          <w:p>
            <w:pPr>
              <w:spacing w:after="20"/>
              <w:ind w:left="20"/>
              <w:jc w:val="both"/>
            </w:pPr>
            <w:r>
              <w:rPr>
                <w:rFonts w:ascii="Times New Roman"/>
                <w:b w:val="false"/>
                <w:i w:val="false"/>
                <w:color w:val="000000"/>
                <w:sz w:val="20"/>
              </w:rPr>
              <w:t>
** Наличие у инвестора не менее 50 условных голов крупного рогатого скота на один колодец на момент подачи заявки на субсидирование.</w:t>
            </w:r>
          </w:p>
          <w:p>
            <w:pPr>
              <w:spacing w:after="20"/>
              <w:ind w:left="20"/>
              <w:jc w:val="both"/>
            </w:pPr>
            <w:r>
              <w:rPr>
                <w:rFonts w:ascii="Times New Roman"/>
                <w:b w:val="false"/>
                <w:i w:val="false"/>
                <w:color w:val="000000"/>
                <w:sz w:val="20"/>
              </w:rPr>
              <w:t>
При строительстве трубчатого колодца (скважины) диаметр трубы должен быть не менее 168 миллиметров и толщина стены трубы не менее 5 миллиметров, за исключением колодцев построенных до 1 января 2024 года.</w:t>
            </w:r>
          </w:p>
          <w:p>
            <w:pPr>
              <w:spacing w:after="20"/>
              <w:ind w:left="20"/>
              <w:jc w:val="both"/>
            </w:pPr>
            <w:r>
              <w:rPr>
                <w:rFonts w:ascii="Times New Roman"/>
                <w:b w:val="false"/>
                <w:i w:val="false"/>
                <w:color w:val="000000"/>
                <w:sz w:val="20"/>
              </w:rPr>
              <w:t>
Обязательным пунктом в договоре является гарантия подрядчика по обеспечению в течение года дебета воды, указанного в паспорте объекта.</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5 "Создание и расширение объектов для откорма скота"</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техники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крупного рогатого скота, кормушками с бетонными площадками шириной не менее 3 метров (из расчета на 1 голову от 30 сантиметров кормового стола), автоматизированной системой водоснабжения с автопоилками, ветеринарным пунктом с оборудованием для работы со скотом (с фиксатором), кормоцехом, наличие емкостей или помещений/площадкой для хранения от 5 000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крупного рогатого скота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овец, кормушками, твердыми площадками (из расчета на 1 голову – не менее 10 сантиметров кормового стола) или переносным устройством для кормления концентрированным кормом, автоматизированной системой водоснабжения с автопоилками, ветеринарным пунктом с оборудованием для работы с мелким рогатым скотом (раскол, фиксатор), трапом для разгрузки и погрузки скота, кормоцехом либо дробилкой/плющилкой зерна, емкостями или площадкой для хранения от 1 000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мелкого рогатого скота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 – для перевозки скота, один на тысячу условных голов крупного рогатого скота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 для перевозки скота, один на тысячу голов условных голов крупного рогатого скота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6 "Создание и расширение объектов для выращивания крупного рогатого скота/коз молочного направления"</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 молочного направления мощностью от 400 голов маточного поголовья: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коровника, телятника, доильного зала, кормоцеха, родильного помещения с профилакторием, выгульными площадками с необходимой техникой и оборудованием для обслуживания объекта, навозохранилищем. Здание коровника, оснащенного оборудованием: боксы для коров, кормовые столы с фиксацией (при необходимости), ограждения внутренних проходов, приспособления для чесания коров, оборудования вентиляции (при необходимости), водоснабжения, система для сепарации жидкого навоза (при необходимости), лечебно-санитарным пунктом; роботизированная доильная установка или доильный зал, оснащенный автоматизированной доильной установкой (карусель, параллель, елочка, тандем) и/или молокопровод, танкер охладитель молока, система контроля физического состояния коров; телятник, оснащенный клетками для содержания телят; силосные траншеи. Стоимость инвестиционного проекта определяется согласно проектно-сметной документации: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молочно-товарной фермы от 50 голов маточного поголовья: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Танк-охладитель молока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Стойловое оборудование для содержания коров (перегородка)</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 забор (хэдлок)</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(резиновое покрытие пола)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коз молочного направления мощностью от 600 голов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для содержания коз, доильного зала, кормоцеха, родильного помещения с профилакторием; здание для содержания козлов-производителей с выгульной площадкой. Стоимость инвестиционного проекта определяется согласно проектно-сметной документации: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новом строительстве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7 "Создание и расширение объектов для убоя скота и переработки мяса"</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производственной мощностью от 8 условных голов в час с автоматизированной технологической линией для убоя скота, холодильными камерами созревания мяса, цехом обвалки и жиловки, цехом обработки субпродуктов и шкур, шоковой заморозки мяса, цехом упаковки готовой продукции, холодильными камерами для хранения готовой продукции, цехом переработки отходов, очистными сооружениями, инфраструктурой и оборудованием систем жизнедеятельности, лабораторией ветсанэкспертизы. Стоимость инвестиционного проекта определяется согласно проектно-сметной документации: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голова в одну смену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(цех) по производству колбасных изделий и (или) полуфабрикатов и (или) консервов от 5 тонн в сутки с холодильными камерами для хранения сырья, цехом обвалки и жиловки, линией по производству колбасных изделий и мясных продуктов и (или) консервов и (или) полуфабрикатов в вакуумной и (или) газовой упаковке, холодильными камерами для хранения готовой продукции. Стоимость инвестиционного проекта определяется согласно проектно-сметной документации: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в сутки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 с подвесными путями*</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мяса и мясопродуктов)*:</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Полуприцеп-скотовоз, разделенный на секции, с трапом для погрузки/разгрузки скота*</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скотовоза*</w:t>
            </w:r>
          </w:p>
        </w:tc>
        <w:tc>
          <w:tcPr>
            <w:tcW w:w="0" w:type="auto"/>
            <w:gridSpan w:val="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на 1 мясоперерабатывающее предприятие не более двух единиц.</w:t>
            </w:r>
          </w:p>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техники/машин/ оборудования, тенге</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 производственной мощностью от 1 тонны в сутки с технологическим оборудованием для переработки молока, фасовки и хранения молочных продуктов. Стоимость инвестиционного проекта определяется согласно проектно-сметной документации: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с отделкой, отоплением, системой инженерии, монтажом оборудования: охладитель молока, стол с раковиной из нержавеющей стали, насос молочный, электрический водонагреватель, счетчики молока, анализатор молока, фильтры.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сельскохозяйственных кооперативов, заготовительных организаций, молокоприемных пунктов: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молока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молочный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водонагреватель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молока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анализа качества молока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 фильтром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(дизельная или бензиновая)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лабораторного оборудования для сельскохозяйственных кооперативов, заготовительных организаций, молокоприемных пунктов и молокоперерабатывающих предприятий: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индикаторы для определения мастита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для определения качества и безопасности молока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образцов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и (или) полуприцеп молоковоз с теплоизоляцией для недопущения изменения температуры жидкости: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 тонны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4 тонн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7 тонн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12 тонн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полуприцепа с емкостью от 12 тонн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Прицеп-цистерна для перевозки молока: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 литров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400 литров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900 литров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1100 литров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молокопродуктов)*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до 10 тонн*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от 10 тонн*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производства сухого молока и/или молочной сыворотки для расширения действующих молокоперерабатывающих предприятий (вальцовая сушилка, дробление или распылительная установка)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на 1 молокоперерабатывающий завод не более двух единиц.</w:t>
            </w:r>
          </w:p>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9 "Приобретение оборудования для пункта заготовки шерсти"</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тенге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Стригальный пункт:</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(на 1 единицу)</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разрыхлительно-очистительное для шерстяных угаров (не более 1 комплекта)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стригальный пункт (двухосный автоприцеп с раскрывающимся кузовом, сортировочная сетка, пресс, экспресс оборудования для определения тонины, штабелер).</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10 "Создание и расширение предприятий по переработке шкур и шерсти сельскохозяйственных животных"</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первичной переработке шерсти от 350 килограммов /час</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глубокой переработке шерсти от 1000 килограммов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первичной переработке шкур КРС от 600 штук в сутки, МРС – 2000 штук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глубокой переработке шкур КРС от 2 000 штук в сутки, МРС – 5 000 штук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c долей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"Строительство и расширение тепличного комплекса"</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(при необходимости), производства углекислого газа, зашторивания, технологию беспочвенного выращивания на искусственном субстрате (в случае отсутствия почвы для выращивания), автоматические системы малообъемного выращивания культур (капельное орошение, узлы подготовки питательных растворов, водоподготовка):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из пленки/поликарбоната:</w:t>
            </w:r>
          </w:p>
          <w:p>
            <w:pPr>
              <w:spacing w:after="20"/>
              <w:ind w:left="20"/>
              <w:jc w:val="both"/>
            </w:pPr>
            <w:r>
              <w:rPr>
                <w:rFonts w:ascii="Times New Roman"/>
                <w:b w:val="false"/>
                <w:i w:val="false"/>
                <w:color w:val="000000"/>
                <w:sz w:val="20"/>
              </w:rPr>
              <w:t>
1.1. Строительство.</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288 966 000</w:t>
            </w:r>
          </w:p>
          <w:p>
            <w:pPr>
              <w:spacing w:after="20"/>
              <w:ind w:left="20"/>
              <w:jc w:val="both"/>
            </w:pPr>
            <w:r>
              <w:rPr>
                <w:rFonts w:ascii="Times New Roman"/>
                <w:b w:val="false"/>
                <w:i w:val="false"/>
                <w:color w:val="000000"/>
                <w:sz w:val="20"/>
              </w:rPr>
              <w:t>
(при строительстве)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Расширение.</w:t>
            </w:r>
          </w:p>
        </w:tc>
        <w:tc>
          <w:tcPr>
            <w:tcW w:w="0" w:type="auto"/>
            <w:gridSpan w:val="11"/>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144 483 000</w:t>
            </w:r>
          </w:p>
          <w:p>
            <w:pPr>
              <w:spacing w:after="20"/>
              <w:ind w:left="20"/>
              <w:jc w:val="both"/>
            </w:pPr>
            <w:r>
              <w:rPr>
                <w:rFonts w:ascii="Times New Roman"/>
                <w:b w:val="false"/>
                <w:i w:val="false"/>
                <w:color w:val="000000"/>
                <w:sz w:val="20"/>
              </w:rPr>
              <w:t>
(при расширении)</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Покрытие из стекла:</w:t>
            </w:r>
          </w:p>
        </w:tc>
        <w:tc>
          <w:tcPr>
            <w:tcW w:w="0" w:type="auto"/>
            <w:gridSpan w:val="11"/>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Строительство</w:t>
            </w:r>
          </w:p>
        </w:tc>
        <w:tc>
          <w:tcPr>
            <w:tcW w:w="0" w:type="auto"/>
            <w:gridSpan w:val="11"/>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540 845 000</w:t>
            </w:r>
          </w:p>
          <w:p>
            <w:pPr>
              <w:spacing w:after="20"/>
              <w:ind w:left="20"/>
              <w:jc w:val="both"/>
            </w:pPr>
            <w:r>
              <w:rPr>
                <w:rFonts w:ascii="Times New Roman"/>
                <w:b w:val="false"/>
                <w:i w:val="false"/>
                <w:color w:val="000000"/>
                <w:sz w:val="20"/>
              </w:rPr>
              <w:t>
(при строительстве)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Расширение</w:t>
            </w:r>
          </w:p>
        </w:tc>
        <w:tc>
          <w:tcPr>
            <w:tcW w:w="0" w:type="auto"/>
            <w:gridSpan w:val="11"/>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270 422 500</w:t>
            </w:r>
          </w:p>
          <w:p>
            <w:pPr>
              <w:spacing w:after="20"/>
              <w:ind w:left="20"/>
              <w:jc w:val="both"/>
            </w:pPr>
            <w:r>
              <w:rPr>
                <w:rFonts w:ascii="Times New Roman"/>
                <w:b w:val="false"/>
                <w:i w:val="false"/>
                <w:color w:val="000000"/>
                <w:sz w:val="20"/>
              </w:rPr>
              <w:t>
(при расширении)</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13 "Закладка интенсивного яблоневого сада от 5 гектаров"</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 машин/ оборудования, тенге</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осуществляется по следующей технологии: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 с количеством саженцев от 2000 до 5714 штук на 1 гектар***; с применением шпалер (опор), включающих натяжные (основные) столбы, промежуточные столбы (высотой не менее 2,0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с применением системы капельного орошения; с использованием защитной сетки (противоградовая, солнцезащитная) из материала, не содержащего токсичных элементов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субсидирование защитной сетки (противоградовая, солнцезащитная) осуществляется по факту установки в течении четырех лет закладки сада, поданному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интенсивный яблоневый сад,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 и более минимального норматива в 20 гектаров. Наличие соответствующих минимальному нормативу площадей земель под интенсивный яблоневый сад,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яблоневого сада составляет не менее 5 гектар субсидируется закладка яблоневого сада менее 5 гектар. Саженцы, просубсидированные в рамках настоящих Правил, не субсидируются в рамках Правил субсидирования повышения урожайности и качества продукции растениеводства (далее – Правила субсидирования повышения урожайности),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равно как саженцы, просубсидированные в рамках Правил субсидирования повышения урожайности не субсидируются в рамках настоящих Правил.</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14 "Закладка плодово-ягодных культур и винограда от 5 гектаров"</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 машин/ оборудования, тенге</w:t>
            </w:r>
          </w:p>
        </w:tc>
      </w:tr>
      <w:tr>
        <w:trPr>
          <w:trHeight w:val="30" w:hRule="atLeast"/>
        </w:trPr>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осуществляется по следующей технологии: с использованием саженцев на средне- и высокорослых подвоях, посадочный материал должен быть свободным от болезней и вредителей; с применением шпалер (опор), включающих натяжные (основные) столбы, промежуточные столбы (высотой не менее 2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(при необходимости); с применением системы капельного орошения (за исключением яблони сорта Апорт); с количеством саженцев на 1 гектар***: плодовых семечковых культур – от 500 до 2000 штук; плодовых косточковых культур – от 200 до 2000 штук; орехоплодных культур от 100 до 500 штук; виноград – от 1150 до 2667 штук; ягодных культур – до 40 000 штук на 1 гектар.</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7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отечественных саженцев:</w:t>
            </w:r>
          </w:p>
        </w:tc>
        <w:tc>
          <w:tcPr>
            <w:tcW w:w="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(плодовых семечковых культур);</w:t>
            </w:r>
          </w:p>
        </w:tc>
      </w:tr>
      <w:tr>
        <w:trPr>
          <w:trHeight w:val="30" w:hRule="atLeast"/>
        </w:trPr>
        <w:tc>
          <w:tcPr>
            <w:tcW w:w="0" w:type="auto"/>
            <w:gridSpan w:val="7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(плодовых косточковых культур);</w:t>
            </w:r>
          </w:p>
        </w:tc>
      </w:tr>
      <w:tr>
        <w:trPr>
          <w:trHeight w:val="30" w:hRule="atLeast"/>
        </w:trPr>
        <w:tc>
          <w:tcPr>
            <w:tcW w:w="0" w:type="auto"/>
            <w:gridSpan w:val="7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(винограда);</w:t>
            </w:r>
          </w:p>
          <w:p>
            <w:pPr>
              <w:spacing w:after="20"/>
              <w:ind w:left="20"/>
              <w:jc w:val="both"/>
            </w:pPr>
            <w:r>
              <w:rPr>
                <w:rFonts w:ascii="Times New Roman"/>
                <w:b w:val="false"/>
                <w:i w:val="false"/>
                <w:color w:val="000000"/>
                <w:sz w:val="20"/>
              </w:rPr>
              <w:t>
4 500 000 (ягодных культур).</w:t>
            </w:r>
          </w:p>
        </w:tc>
      </w:tr>
      <w:tr>
        <w:trPr>
          <w:trHeight w:val="30" w:hRule="atLeast"/>
        </w:trPr>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импортных саженцев</w:t>
            </w:r>
          </w:p>
        </w:tc>
        <w:tc>
          <w:tcPr>
            <w:tcW w:w="0" w:type="auto"/>
            <w:vMerge/>
            <w:tcBorders>
              <w:top w:val="nil"/>
              <w:left w:val="single" w:color="cfcfcf" w:sz="5"/>
              <w:bottom w:val="single" w:color="cfcfcf" w:sz="5"/>
              <w:right w:val="single" w:color="cfcfcf" w:sz="5"/>
            </w:tcBorders>
          </w:tc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(плодовых семечковых культур);</w:t>
            </w:r>
          </w:p>
          <w:p>
            <w:pPr>
              <w:spacing w:after="20"/>
              <w:ind w:left="20"/>
              <w:jc w:val="both"/>
            </w:pPr>
            <w:r>
              <w:rPr>
                <w:rFonts w:ascii="Times New Roman"/>
                <w:b w:val="false"/>
                <w:i w:val="false"/>
                <w:color w:val="000000"/>
                <w:sz w:val="20"/>
              </w:rPr>
              <w:t>
8 668 000 (плодовых косточковых культур);</w:t>
            </w:r>
          </w:p>
          <w:p>
            <w:pPr>
              <w:spacing w:after="20"/>
              <w:ind w:left="20"/>
              <w:jc w:val="both"/>
            </w:pPr>
            <w:r>
              <w:rPr>
                <w:rFonts w:ascii="Times New Roman"/>
                <w:b w:val="false"/>
                <w:i w:val="false"/>
                <w:color w:val="000000"/>
                <w:sz w:val="20"/>
              </w:rPr>
              <w:t>
1 841 000 (орехоплодных культур);</w:t>
            </w:r>
          </w:p>
          <w:p>
            <w:pPr>
              <w:spacing w:after="20"/>
              <w:ind w:left="20"/>
              <w:jc w:val="both"/>
            </w:pPr>
            <w:r>
              <w:rPr>
                <w:rFonts w:ascii="Times New Roman"/>
                <w:b w:val="false"/>
                <w:i w:val="false"/>
                <w:color w:val="000000"/>
                <w:sz w:val="20"/>
              </w:rPr>
              <w:t>
3 945 000 (виноград);</w:t>
            </w:r>
          </w:p>
          <w:p>
            <w:pPr>
              <w:spacing w:after="20"/>
              <w:ind w:left="20"/>
              <w:jc w:val="both"/>
            </w:pPr>
            <w:r>
              <w:rPr>
                <w:rFonts w:ascii="Times New Roman"/>
                <w:b w:val="false"/>
                <w:i w:val="false"/>
                <w:color w:val="000000"/>
                <w:sz w:val="20"/>
              </w:rPr>
              <w:t>
4 622 000 (ягодных культур);</w:t>
            </w:r>
          </w:p>
        </w:tc>
      </w:tr>
      <w:tr>
        <w:trPr>
          <w:trHeight w:val="30" w:hRule="atLeast"/>
        </w:trPr>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защитной сетки (противоградовая, солнцезащитная) из материала, не содержащего токсичных элементов (за исключением орехоплодных и ягодных культур)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шпалерной системы включающую в себя шпалеры (столбы для опоры) и элементов крепления саженца к шпалере</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vMerge/>
            <w:tcBorders>
              <w:top w:val="nil"/>
              <w:left w:val="single" w:color="cfcfcf" w:sz="5"/>
              <w:bottom w:val="single" w:color="cfcfcf" w:sz="5"/>
              <w:right w:val="single" w:color="cfcfcf" w:sz="5"/>
            </w:tcBorders>
          </w:tc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vMerge/>
            <w:tcBorders>
              <w:top w:val="nil"/>
              <w:left w:val="single" w:color="cfcfcf" w:sz="5"/>
              <w:bottom w:val="single" w:color="cfcfcf" w:sz="5"/>
              <w:right w:val="single" w:color="cfcfcf" w:sz="5"/>
            </w:tcBorders>
          </w:tc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vMerge/>
            <w:tcBorders>
              <w:top w:val="nil"/>
              <w:left w:val="single" w:color="cfcfcf" w:sz="5"/>
              <w:bottom w:val="single" w:color="cfcfcf" w:sz="5"/>
              <w:right w:val="single" w:color="cfcfcf" w:sz="5"/>
            </w:tcBorders>
          </w:tc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vMerge/>
            <w:tcBorders>
              <w:top w:val="nil"/>
              <w:left w:val="single" w:color="cfcfcf" w:sz="5"/>
              <w:bottom w:val="single" w:color="cfcfcf" w:sz="5"/>
              <w:right w:val="single" w:color="cfcfcf" w:sz="5"/>
            </w:tcBorders>
          </w:tc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vMerge/>
            <w:tcBorders>
              <w:top w:val="nil"/>
              <w:left w:val="single" w:color="cfcfcf" w:sz="5"/>
              <w:bottom w:val="single" w:color="cfcfcf" w:sz="5"/>
              <w:right w:val="single" w:color="cfcfcf" w:sz="5"/>
            </w:tcBorders>
          </w:tc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vMerge/>
            <w:tcBorders>
              <w:top w:val="nil"/>
              <w:left w:val="single" w:color="cfcfcf" w:sz="5"/>
              <w:bottom w:val="single" w:color="cfcfcf" w:sz="5"/>
              <w:right w:val="single" w:color="cfcfcf" w:sz="5"/>
            </w:tcBorders>
          </w:tc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vMerge/>
            <w:tcBorders>
              <w:top w:val="nil"/>
              <w:left w:val="single" w:color="cfcfcf" w:sz="5"/>
              <w:bottom w:val="single" w:color="cfcfcf" w:sz="5"/>
              <w:right w:val="single" w:color="cfcfcf" w:sz="5"/>
            </w:tcBorders>
          </w:tc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субсидирование защитной сетки (противоградовая, солнцезащитная) осуществляется по факту установки в течение четырех лет закладки сада, по данному условию не требуется установка защитной сетки в начале закладки сада;</w:t>
            </w:r>
          </w:p>
          <w:p>
            <w:pPr>
              <w:spacing w:after="20"/>
              <w:ind w:left="20"/>
              <w:jc w:val="both"/>
            </w:pPr>
            <w:r>
              <w:rPr>
                <w:rFonts w:ascii="Times New Roman"/>
                <w:b w:val="false"/>
                <w:i w:val="false"/>
                <w:color w:val="000000"/>
                <w:sz w:val="20"/>
              </w:rPr>
              <w:t>
** приобретение сельскохозяйственной техники и оборудования (при необходимости);</w:t>
            </w:r>
          </w:p>
          <w:p>
            <w:pPr>
              <w:spacing w:after="20"/>
              <w:ind w:left="20"/>
              <w:jc w:val="both"/>
            </w:pPr>
            <w:r>
              <w:rPr>
                <w:rFonts w:ascii="Times New Roman"/>
                <w:b w:val="false"/>
                <w:i w:val="false"/>
                <w:color w:val="000000"/>
                <w:sz w:val="20"/>
              </w:rPr>
              <w:t>
*** минимальный норматив земель под плодово-ягодные культуры и виноград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 и более минимального норматива в 20 гектаров. Наличие соответствующих минимальному нормативу земель под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(услугополучателем) под плодово-ягодных культуры и виноград составляет не менее 5 гектар субсидируется закладка плодово-ягодных культур и винограда менее 5 гектар. Саженцы, просубсидированные в рамках настоящих Правил, не субсидируются в рамках Правил субсидирования повышения урожайности, равно как саженцы, просубсидированные в рамках Правил субсидирования повышения урожайности не субсидируются в рамках Правил.</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15 "Создание и расширение объектов для производства мяса птицы мощностью от 5 тысяч тонн в год"</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зданиями и сооружениями: напольное/клеточное оборудование для содержания птиц, автоматизированная система кормления, поения, микроклимата, водоснабжения, вентиляции и отопления, освещения, убойный цех, ветеринарный блок, инкубатор, кормоцех, холодильное оборудование, система переработки отходов,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мяса птицы в год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этапной реализации субсидируются проекты на создание и расширение объектов для производства мяса птицы с первоначальным этапом мощности от 2 тысяч тонн в год.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 В случае, если у предприятия имеется комбикормовый завод, и/или мобильный комбикормовый завод, то нет необходимости в строительстве кормоцеха.</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16 "Создание селекционно-гибридного центра с мощностью получения и выращивания от 1200 гибридных свиноматок"</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Селекционно-гибридный центр с оборудованными зданиями для содержания свинопоголовья, ветеринарно-санитарным блоком, убойным цехом, весовая, холодильное оборудование, автоматизированной системой кормления, водоснабжения, вентиляции, отопления и навозоудаления, генетической лабораторией,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свиноматки</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17 "Создание и расширение объектов для выращивания свиней"</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Свиноводческий комплекс мощностью от 1000 свиноматок, с оборудованными зданиями для содержания свинопоголовья, ветеринарным пунктом, системой автоматизированного кормления, водоснабжения, навозоудаления, вентиляции и отопления, убойным цехом и системой переработки отходов, весовая, холодильное оборудование, с необходимой техникой и оборудованием для обслуживания объекта. </w:t>
            </w:r>
          </w:p>
          <w:p>
            <w:pPr>
              <w:spacing w:after="20"/>
              <w:ind w:left="20"/>
              <w:jc w:val="both"/>
            </w:pPr>
            <w:r>
              <w:rPr>
                <w:rFonts w:ascii="Times New Roman"/>
                <w:b w:val="false"/>
                <w:i w:val="false"/>
                <w:color w:val="000000"/>
                <w:sz w:val="20"/>
              </w:rPr>
              <w:t xml:space="preserve">
Стоимость инвестиционного проекта определяется согласно проектно-сметной документации: при строительстве/расширении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p>
            <w:pPr>
              <w:spacing w:after="20"/>
              <w:ind w:left="20"/>
              <w:jc w:val="both"/>
            </w:pPr>
            <w:r>
              <w:rPr>
                <w:rFonts w:ascii="Times New Roman"/>
                <w:b w:val="false"/>
                <w:i w:val="false"/>
                <w:color w:val="000000"/>
                <w:sz w:val="20"/>
              </w:rPr>
              <w:t>
850 000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предприятий мощностью от 1000 свиноматок, без увеличения мест для свиноматок:</w:t>
            </w:r>
          </w:p>
          <w:p>
            <w:pPr>
              <w:spacing w:after="20"/>
              <w:ind w:left="20"/>
              <w:jc w:val="both"/>
            </w:pPr>
            <w:r>
              <w:rPr>
                <w:rFonts w:ascii="Times New Roman"/>
                <w:b w:val="false"/>
                <w:i w:val="false"/>
                <w:color w:val="000000"/>
                <w:sz w:val="20"/>
              </w:rPr>
              <w:t>
Корпус для откорма свинопоголовья с системой автоматизированного кормления, водоснабжения, навозоудаления, вентиляции и отопления, с необходимой техникой и оборудованием для обслуживания объекта.</w:t>
            </w:r>
          </w:p>
          <w:p>
            <w:pPr>
              <w:spacing w:after="20"/>
              <w:ind w:left="20"/>
              <w:jc w:val="both"/>
            </w:pPr>
            <w:r>
              <w:rPr>
                <w:rFonts w:ascii="Times New Roman"/>
                <w:b w:val="false"/>
                <w:i w:val="false"/>
                <w:color w:val="000000"/>
                <w:sz w:val="20"/>
              </w:rPr>
              <w:t xml:space="preserve">
Стоимость инвестиционного проекта определяется согласно проектно-сметной документации: при строительстве/расширении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свинопоголовья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317 000</w:t>
            </w:r>
          </w:p>
          <w:p>
            <w:pPr>
              <w:spacing w:after="20"/>
              <w:ind w:left="20"/>
              <w:jc w:val="both"/>
            </w:pPr>
            <w:r>
              <w:rPr>
                <w:rFonts w:ascii="Times New Roman"/>
                <w:b w:val="false"/>
                <w:i w:val="false"/>
                <w:color w:val="000000"/>
                <w:sz w:val="20"/>
              </w:rPr>
              <w:t>
158 000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18 "Создание комбикормового завода"</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 (цех) мощностью от 3 тонн комбикормов/гранулированных кормов в час, включая здание комбикормового завода (цеха), емкости для хранения зерна (силосные корпуса), производственный блок, склады для сырья и готовой продукции с отгрузкой на авто и/или ж/д транспорт, технологическое оборудование для комбикормового завода, складов и силосов, необходимая техника и транспорт.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час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p>
            <w:pPr>
              <w:spacing w:after="20"/>
              <w:ind w:left="20"/>
              <w:jc w:val="both"/>
            </w:pPr>
            <w:r>
              <w:rPr>
                <w:rFonts w:ascii="Times New Roman"/>
                <w:b w:val="false"/>
                <w:i w:val="false"/>
                <w:color w:val="000000"/>
                <w:sz w:val="20"/>
              </w:rPr>
              <w:t>
135 000 000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комбикормовый завод мощностью от 15 тонн в час, включающий всасывающую заслонку, молотковую пневмодробилку, зерноплющилку, роторный компрессор, смеситель весовой, аспирацию, всасывающий штуцер, выгрузной шнек, поворотный шнек, комбинированный шлюз, загрузочную воронку, загрузочный шнек, линию для разгрузки при помощи воздуха, дозировочную емкость для кормового масла.</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передвижения комбикормового завода</w:t>
            </w: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19 "Приобретение техники и оборудования для переработки птичьего помета, мощностью 50 тонн/сутки"</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помета: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Ворошитель</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помета: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сушки удобрений</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 для всех способов переработки:</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Разбрасыватель</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фасовки и упаковки удобрений</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20 "Создание и расширение племенного репродуктора в птицеводстве яичного и мясного направления"</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прародительского/ родительского стада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Птичники ремонтного молодняка</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ветеринарных объектов согласно пунктам 17.1.2 и 17.1.3 СНиП РК 3.02-11 "Животноводческие, птицеводческие и звероводческие здания и помещения" предусмотренных проектно-сметной документацией</w:t>
            </w:r>
          </w:p>
        </w:tc>
        <w:tc>
          <w:tcPr>
            <w:tcW w:w="0" w:type="auto"/>
            <w:gridSpan w:val="1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убойного цеха</w:t>
            </w:r>
          </w:p>
          <w:p>
            <w:pPr>
              <w:spacing w:after="20"/>
              <w:ind w:left="20"/>
              <w:jc w:val="both"/>
            </w:pPr>
            <w:r>
              <w:rPr>
                <w:rFonts w:ascii="Times New Roman"/>
                <w:b w:val="false"/>
                <w:i w:val="false"/>
                <w:color w:val="000000"/>
                <w:sz w:val="20"/>
              </w:rPr>
              <w:t>
(является не обязательным в случае наличия действующего объекта у инвестора (услугополучателя) или наличия заключенного договора аутсорсинга по убою птицы)</w:t>
            </w:r>
          </w:p>
        </w:tc>
        <w:tc>
          <w:tcPr>
            <w:tcW w:w="0" w:type="auto"/>
            <w:gridSpan w:val="1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w:t>
            </w:r>
          </w:p>
          <w:p>
            <w:pPr>
              <w:spacing w:after="20"/>
              <w:ind w:left="20"/>
              <w:jc w:val="both"/>
            </w:pPr>
            <w:r>
              <w:rPr>
                <w:rFonts w:ascii="Times New Roman"/>
                <w:b w:val="false"/>
                <w:i w:val="false"/>
                <w:color w:val="000000"/>
                <w:sz w:val="20"/>
              </w:rPr>
              <w:t>
(является не обязательным в случае специализации репродуктора на производстве и реализации инкубационного яйца)</w:t>
            </w:r>
          </w:p>
        </w:tc>
        <w:tc>
          <w:tcPr>
            <w:tcW w:w="0" w:type="auto"/>
            <w:gridSpan w:val="1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утилизации - Крематорий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инкубатора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яйце место</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Цыплятовоз</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 рефрижератор</w:t>
            </w:r>
          </w:p>
        </w:tc>
        <w:tc>
          <w:tcPr>
            <w:tcW w:w="0" w:type="auto"/>
            <w:gridSpan w:val="1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0" w:type="auto"/>
            <w:gridSpan w:val="1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Минипогрузчик</w:t>
            </w:r>
          </w:p>
        </w:tc>
        <w:tc>
          <w:tcPr>
            <w:tcW w:w="0" w:type="auto"/>
            <w:gridSpan w:val="1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w:t>
            </w:r>
          </w:p>
        </w:tc>
        <w:tc>
          <w:tcPr>
            <w:tcW w:w="0" w:type="auto"/>
            <w:gridSpan w:val="1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21 "Строительство и расширение зернохранилищ"</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зернохранилища для масличных культур с оборудованием, обеспечивающим следующие операции с зерном: приемка, подработка, очистка, обработка, сушка, хранение, внутреннее перемещение и отгрузка, от 5000 тонн хранения.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зернохранилища с оборудованием, обеспечивающим следующие операции с зерном: приемка, подработка, очистка, обработка, хранение, внутреннее перемещение и отгрузка, но не более 10 000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22 "Строительство, расширение картофеле-овощехранилищ от 1 000 тонн"</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w:t>
            </w:r>
          </w:p>
          <w:p>
            <w:pPr>
              <w:spacing w:after="20"/>
              <w:ind w:left="20"/>
              <w:jc w:val="both"/>
            </w:pPr>
            <w:r>
              <w:rPr>
                <w:rFonts w:ascii="Times New Roman"/>
                <w:b w:val="false"/>
                <w:i w:val="false"/>
                <w:color w:val="000000"/>
                <w:sz w:val="20"/>
              </w:rPr>
              <w:t>
- с холодильным оборудованием – 50 %;</w:t>
            </w:r>
          </w:p>
          <w:p>
            <w:pPr>
              <w:spacing w:after="20"/>
              <w:ind w:left="20"/>
              <w:jc w:val="both"/>
            </w:pPr>
            <w:r>
              <w:rPr>
                <w:rFonts w:ascii="Times New Roman"/>
                <w:b w:val="false"/>
                <w:i w:val="false"/>
                <w:color w:val="000000"/>
                <w:sz w:val="20"/>
              </w:rPr>
              <w:t>
- с вентиляционным оборудованием – 40 %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Картофеле-овощехранилище должно включать: холодильное оборудование (в случае необходимости), вентиляционное оборудование, складскую технику.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 грузоподъемностью от 20 тонн:</w:t>
            </w:r>
          </w:p>
          <w:p>
            <w:pPr>
              <w:spacing w:after="20"/>
              <w:ind w:left="20"/>
              <w:jc w:val="both"/>
            </w:pPr>
            <w:r>
              <w:rPr>
                <w:rFonts w:ascii="Times New Roman"/>
                <w:b w:val="false"/>
                <w:i w:val="false"/>
                <w:color w:val="000000"/>
                <w:sz w:val="20"/>
              </w:rPr>
              <w:t>
седельный тягач*</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при комбинированном климат-контроле (с холодильным и вентиляционными оборудованиями) составляет 40 %.</w:t>
            </w:r>
          </w:p>
          <w:p>
            <w:pPr>
              <w:spacing w:after="20"/>
              <w:ind w:left="20"/>
              <w:jc w:val="both"/>
            </w:pPr>
            <w:r>
              <w:rPr>
                <w:rFonts w:ascii="Times New Roman"/>
                <w:b w:val="false"/>
                <w:i w:val="false"/>
                <w:color w:val="000000"/>
                <w:sz w:val="20"/>
              </w:rPr>
              <w:t>
**субсидируется по норме 3 единицы на 1500 тонн хранения</w:t>
            </w:r>
          </w:p>
          <w:p>
            <w:pPr>
              <w:spacing w:after="20"/>
              <w:ind w:left="20"/>
              <w:jc w:val="both"/>
            </w:pPr>
            <w:r>
              <w:rPr>
                <w:rFonts w:ascii="Times New Roman"/>
                <w:b w:val="false"/>
                <w:i w:val="false"/>
                <w:color w:val="000000"/>
                <w:sz w:val="20"/>
              </w:rPr>
              <w:t>
***Вместимость одного контейнера 200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23 "Строительство и расширение фруктохранилищ от 1000 тонн *"</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без регулируемой газовой среды должно включать: вентиляционное оборудование, холодильное оборудование, складскую технику.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5"/>
            <w:vMerge/>
            <w:tcBorders>
              <w:top w:val="nil"/>
              <w:left w:val="single" w:color="cfcfcf" w:sz="5"/>
              <w:bottom w:val="single" w:color="cfcfcf" w:sz="5"/>
              <w:right w:val="single" w:color="cfcfcf" w:sz="5"/>
            </w:tcBorders>
          </w:tc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с регулируемой газовой средой должно включать: регулируемую газовую среду, холодильное оборудование, складскую технику.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5"/>
            <w:vMerge/>
            <w:tcBorders>
              <w:top w:val="nil"/>
              <w:left w:val="single" w:color="cfcfcf" w:sz="5"/>
              <w:bottom w:val="single" w:color="cfcfcf" w:sz="5"/>
              <w:right w:val="single" w:color="cfcfcf" w:sz="5"/>
            </w:tcBorders>
          </w:tc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до 5 тонн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5 до 10 тонн</w:t>
            </w:r>
          </w:p>
        </w:tc>
        <w:tc>
          <w:tcPr>
            <w:tcW w:w="0" w:type="auto"/>
            <w:gridSpan w:val="5"/>
            <w:vMerge/>
            <w:tcBorders>
              <w:top w:val="nil"/>
              <w:left w:val="single" w:color="cfcfcf" w:sz="5"/>
              <w:bottom w:val="single" w:color="cfcfcf" w:sz="5"/>
              <w:right w:val="single" w:color="cfcfcf" w:sz="5"/>
            </w:tcBorders>
          </w:tc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10 тонн</w:t>
            </w:r>
          </w:p>
        </w:tc>
        <w:tc>
          <w:tcPr>
            <w:tcW w:w="0" w:type="auto"/>
            <w:gridSpan w:val="5"/>
            <w:vMerge/>
            <w:tcBorders>
              <w:top w:val="nil"/>
              <w:left w:val="single" w:color="cfcfcf" w:sz="5"/>
              <w:bottom w:val="single" w:color="cfcfcf" w:sz="5"/>
              <w:right w:val="single" w:color="cfcfcf" w:sz="5"/>
            </w:tcBorders>
          </w:tc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20 тонн:</w:t>
            </w:r>
          </w:p>
          <w:p>
            <w:pPr>
              <w:spacing w:after="20"/>
              <w:ind w:left="20"/>
              <w:jc w:val="both"/>
            </w:pPr>
            <w:r>
              <w:rPr>
                <w:rFonts w:ascii="Times New Roman"/>
                <w:b w:val="false"/>
                <w:i w:val="false"/>
                <w:color w:val="000000"/>
                <w:sz w:val="20"/>
              </w:rPr>
              <w:t>
седельный тягач</w:t>
            </w:r>
          </w:p>
          <w:p>
            <w:pPr>
              <w:spacing w:after="20"/>
              <w:ind w:left="20"/>
              <w:jc w:val="both"/>
            </w:pPr>
            <w:r>
              <w:rPr>
                <w:rFonts w:ascii="Times New Roman"/>
                <w:b w:val="false"/>
                <w:i w:val="false"/>
                <w:color w:val="000000"/>
                <w:sz w:val="20"/>
              </w:rPr>
              <w:t>
полуприцеп-рефрижератор</w:t>
            </w:r>
          </w:p>
        </w:tc>
        <w:tc>
          <w:tcPr>
            <w:tcW w:w="0" w:type="auto"/>
            <w:gridSpan w:val="5"/>
            <w:vMerge/>
            <w:tcBorders>
              <w:top w:val="nil"/>
              <w:left w:val="single" w:color="cfcfcf" w:sz="5"/>
              <w:bottom w:val="single" w:color="cfcfcf" w:sz="5"/>
              <w:right w:val="single" w:color="cfcfcf" w:sz="5"/>
            </w:tcBorders>
          </w:tc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p>
            <w:pPr>
              <w:spacing w:after="20"/>
              <w:ind w:left="20"/>
              <w:jc w:val="both"/>
            </w:pPr>
            <w:r>
              <w:rPr>
                <w:rFonts w:ascii="Times New Roman"/>
                <w:b w:val="false"/>
                <w:i w:val="false"/>
                <w:color w:val="000000"/>
                <w:sz w:val="20"/>
              </w:rPr>
              <w:t>
29 145 000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формированию гофротары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гофрокартона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миллионов квадратных метров</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Сортировочно-упаковочное оборудование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тонн/час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Технологии хранения фруктохранилищ при необходимости допускается комбинировать: с регулируемой газовой средой, также без регулируемой газовой средой. При расчете, учитывается общая мощность.</w:t>
            </w:r>
          </w:p>
          <w:p>
            <w:pPr>
              <w:spacing w:after="20"/>
              <w:ind w:left="20"/>
              <w:jc w:val="both"/>
            </w:pPr>
            <w:r>
              <w:rPr>
                <w:rFonts w:ascii="Times New Roman"/>
                <w:b w:val="false"/>
                <w:i w:val="false"/>
                <w:color w:val="000000"/>
                <w:sz w:val="20"/>
              </w:rPr>
              <w:t>
** При субсидировании в расчет принимается количество транспортных средств, находящихся на балансе на дату субсидирования и мощности фруктохранилища. Субсидируется не более 8 рефрижераторов на 1000 тонн хранения.</w:t>
            </w:r>
          </w:p>
          <w:p>
            <w:pPr>
              <w:spacing w:after="20"/>
              <w:ind w:left="20"/>
              <w:jc w:val="both"/>
            </w:pPr>
            <w:r>
              <w:rPr>
                <w:rFonts w:ascii="Times New Roman"/>
                <w:b w:val="false"/>
                <w:i w:val="false"/>
                <w:color w:val="000000"/>
                <w:sz w:val="20"/>
              </w:rPr>
              <w:t>
*** вместимость одного контейнера 300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 линию производства гофрокартона (гофроагрегат), линию производства гофротары (флексопечать, слоттер, ротационная высечка), штанцевальные формы для ротационной высечки, парогенератор, компрессоры, складскую технику (включая погрузчик с рулонным захватом), оборудование по обвязке готовой продукции, оборудование по прессовке отходов производства. Субсидируются фруктохранилища от 10 000 тонн хранения</w:t>
            </w:r>
          </w:p>
          <w:p>
            <w:pPr>
              <w:spacing w:after="20"/>
              <w:ind w:left="20"/>
              <w:jc w:val="both"/>
            </w:pPr>
            <w:r>
              <w:rPr>
                <w:rFonts w:ascii="Times New Roman"/>
                <w:b w:val="false"/>
                <w:i w:val="false"/>
                <w:color w:val="000000"/>
                <w:sz w:val="20"/>
              </w:rPr>
              <w:t>
***** сортировочно-упаковочное оборудование субсидируется из расчета 1 тонн/час на 800 тонн хранения. По оборудованию, контейнерам и транспорту возможно приобретение и субсидирование вне расширения текущего объема фруктохранилища, но не более максимальных нормативов на 1 тонну хранения.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24 "Создание и расширение предприятия по переработке плодов/овощей/бахчевых культур"</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свежих плодов, овощей и бахчевых культур с необходимым оборудованием для производства одного и более видов соковой и (или) плодоовощной продукции. Условия для расчета субсидий: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25 "Строительство предприятия по переработке картофеля"</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мощностью от 50 000 тонн в год по сырью с производственным комплексом и необходимым оборудованием для производства одного и (или) более видов продуктов переработки картофеля (картофельные чипсы, картофель фри, полуфабрикаты и другое).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предприятие</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13 908 680 324</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26 "Создание и расширение предприятия по производству масложировой продукции"</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переработки масличных культур и (или) производства масложировой продукции.</w:t>
            </w:r>
          </w:p>
          <w:p>
            <w:pPr>
              <w:spacing w:after="20"/>
              <w:ind w:left="20"/>
              <w:jc w:val="both"/>
            </w:pPr>
            <w:r>
              <w:rPr>
                <w:rFonts w:ascii="Times New Roman"/>
                <w:b w:val="false"/>
                <w:i w:val="false"/>
                <w:color w:val="000000"/>
                <w:sz w:val="20"/>
              </w:rPr>
              <w:t>
Условия для расчета субсидий: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масличных культур от 500 тонн в 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сельскохозяйственным кооперативом предприятия мощностью переработки масличных культур от 100 тонн в сутки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масличных культур от 100 тонн в сутки</w:t>
            </w:r>
          </w:p>
        </w:tc>
        <w:tc>
          <w:tcPr>
            <w:tcW w:w="0" w:type="auto"/>
            <w:gridSpan w:val="7"/>
            <w:vMerge/>
            <w:tcBorders>
              <w:top w:val="nil"/>
              <w:left w:val="single" w:color="cfcfcf" w:sz="5"/>
              <w:bottom w:val="single" w:color="cfcfcf" w:sz="5"/>
              <w:right w:val="single" w:color="cfcfcf" w:sz="5"/>
            </w:tcBorders>
          </w:tc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100 тонн в сутки по сырью для производства пищевых масложировых продуктов, за исключением масла растительного</w:t>
            </w:r>
          </w:p>
        </w:tc>
        <w:tc>
          <w:tcPr>
            <w:tcW w:w="0" w:type="auto"/>
            <w:gridSpan w:val="7"/>
            <w:vMerge/>
            <w:tcBorders>
              <w:top w:val="nil"/>
              <w:left w:val="single" w:color="cfcfcf" w:sz="5"/>
              <w:bottom w:val="single" w:color="cfcfcf" w:sz="5"/>
              <w:right w:val="single" w:color="cfcfcf" w:sz="5"/>
            </w:tcBorders>
          </w:tc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с необходимым оборудованием для переработки растительных и животных жиров для производства непищевой масложировой продукции (гранул) мощностью от 3 тонн в 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p>
            <w:pPr>
              <w:spacing w:after="20"/>
              <w:ind w:left="20"/>
              <w:jc w:val="both"/>
            </w:pPr>
            <w:r>
              <w:rPr>
                <w:rFonts w:ascii="Times New Roman"/>
                <w:b w:val="false"/>
                <w:i w:val="false"/>
                <w:color w:val="000000"/>
                <w:sz w:val="20"/>
              </w:rPr>
              <w:t>
* В рамках настоящего паспорта проекта субсидируется не более одной заявки от одного сельскохозяйственного кооператива</w:t>
            </w:r>
          </w:p>
          <w:p>
            <w:pPr>
              <w:spacing w:after="20"/>
              <w:ind w:left="20"/>
              <w:jc w:val="both"/>
            </w:pPr>
            <w:r>
              <w:rPr>
                <w:rFonts w:ascii="Times New Roman"/>
                <w:b w:val="false"/>
                <w:i w:val="false"/>
                <w:color w:val="000000"/>
                <w:sz w:val="20"/>
              </w:rPr>
              <w:t>
С 1 января 2026 года исключается возмещение части инвестиционных вложений по инвестиционным проектам на создание новых производственных мощностей.</w:t>
            </w:r>
          </w:p>
          <w:p>
            <w:pPr>
              <w:spacing w:after="20"/>
              <w:ind w:left="20"/>
              <w:jc w:val="both"/>
            </w:pPr>
            <w:r>
              <w:rPr>
                <w:rFonts w:ascii="Times New Roman"/>
                <w:b w:val="false"/>
                <w:i w:val="false"/>
                <w:color w:val="000000"/>
                <w:sz w:val="20"/>
              </w:rPr>
              <w:t>
При этом, по инвестиционным проектам, введенным в эксплуатацию и получившим инвестиционные субсидии по первому траншу до января 2026 года, допускается получение инвестиционных субсидий по второму траншу после 1 января 2026 года согласно подпункту 2 пункта 16 настоящих Правил.</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 "Создание и расширение предприятия по производству продуктов переработки зерновых культур"</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 с необходимым оборудованием для производства одного и более видов крупяной продукции и (или) сухих завтраков. Условия для расчета субсидий: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2 тонн в час по сырью для производства крупяной продукции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2 тонн в час по сырью для производства крупяной продукции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от 0,2 тонны в час по производству сухих завтраков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0,2 тонны в час по производству сухих завтраков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зерна/муки для производства макаронных изделий с необходимым оборудованием для производства одного и более видов продукции. Условия для расчета субсидий: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по производству макарон без глютена мощностью от 0,2 тонны в час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27.1 "Создание и расширение предприятия по глубокой переработке растениеводческой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высокой технологичной сложности* – 50 % (при этом доля возмещения инвестиционных вложений для производства продукции, не отнесенной к продуктам высокой технологичной сложности в полном технологическом цикле – 25 %);</w:t>
            </w:r>
          </w:p>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не отнесенной к продуктам высокой технологичной сложности – 25 %.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производства одного и (или) более видов продуктов глубокой переработки.</w:t>
            </w:r>
          </w:p>
          <w:p>
            <w:pPr>
              <w:spacing w:after="20"/>
              <w:ind w:left="20"/>
              <w:jc w:val="both"/>
            </w:pPr>
            <w:r>
              <w:rPr>
                <w:rFonts w:ascii="Times New Roman"/>
                <w:b w:val="false"/>
                <w:i w:val="false"/>
                <w:color w:val="000000"/>
                <w:sz w:val="20"/>
              </w:rPr>
              <w:t>
Условия для расчета субсидий: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зерновых культур (за исключением переработки зерна для производства товарной муки), мощностью от 170 тонн сырья в сутки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масличных культур, мощностью от 7 тонн/сутки по основной готовой продукции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p>
            <w:pPr>
              <w:spacing w:after="20"/>
              <w:ind w:left="20"/>
              <w:jc w:val="both"/>
            </w:pPr>
            <w:r>
              <w:rPr>
                <w:rFonts w:ascii="Times New Roman"/>
                <w:b w:val="false"/>
                <w:i w:val="false"/>
                <w:color w:val="000000"/>
                <w:sz w:val="20"/>
              </w:rPr>
              <w:t>
*Субсидирование осуществляется при производстве следующей продукции высокой технологической сложности:</w:t>
            </w:r>
          </w:p>
          <w:p>
            <w:pPr>
              <w:spacing w:after="20"/>
              <w:ind w:left="20"/>
              <w:jc w:val="both"/>
            </w:pPr>
            <w:r>
              <w:rPr>
                <w:rFonts w:ascii="Times New Roman"/>
                <w:b w:val="false"/>
                <w:i w:val="false"/>
                <w:color w:val="000000"/>
                <w:sz w:val="20"/>
              </w:rPr>
              <w:t>
Крахмалы модифицированные;</w:t>
            </w:r>
          </w:p>
          <w:p>
            <w:pPr>
              <w:spacing w:after="20"/>
              <w:ind w:left="20"/>
              <w:jc w:val="both"/>
            </w:pPr>
            <w:r>
              <w:rPr>
                <w:rFonts w:ascii="Times New Roman"/>
                <w:b w:val="false"/>
                <w:i w:val="false"/>
                <w:color w:val="000000"/>
                <w:sz w:val="20"/>
              </w:rPr>
              <w:t>
Глюкоза и сироп из глюкозы;</w:t>
            </w:r>
          </w:p>
          <w:p>
            <w:pPr>
              <w:spacing w:after="20"/>
              <w:ind w:left="20"/>
              <w:jc w:val="both"/>
            </w:pPr>
            <w:r>
              <w:rPr>
                <w:rFonts w:ascii="Times New Roman"/>
                <w:b w:val="false"/>
                <w:i w:val="false"/>
                <w:color w:val="000000"/>
                <w:sz w:val="20"/>
              </w:rPr>
              <w:t>
Фруктоза и сироп из фруктозы;</w:t>
            </w:r>
          </w:p>
          <w:p>
            <w:pPr>
              <w:spacing w:after="20"/>
              <w:ind w:left="20"/>
              <w:jc w:val="both"/>
            </w:pPr>
            <w:r>
              <w:rPr>
                <w:rFonts w:ascii="Times New Roman"/>
                <w:b w:val="false"/>
                <w:i w:val="false"/>
                <w:color w:val="000000"/>
                <w:sz w:val="20"/>
              </w:rPr>
              <w:t>
Мальтоза и мальтозный сироп;</w:t>
            </w:r>
          </w:p>
          <w:p>
            <w:pPr>
              <w:spacing w:after="20"/>
              <w:ind w:left="20"/>
              <w:jc w:val="both"/>
            </w:pPr>
            <w:r>
              <w:rPr>
                <w:rFonts w:ascii="Times New Roman"/>
                <w:b w:val="false"/>
                <w:i w:val="false"/>
                <w:color w:val="000000"/>
                <w:sz w:val="20"/>
              </w:rPr>
              <w:t>
Мальтодекстрин;</w:t>
            </w:r>
          </w:p>
          <w:p>
            <w:pPr>
              <w:spacing w:after="20"/>
              <w:ind w:left="20"/>
              <w:jc w:val="both"/>
            </w:pPr>
            <w:r>
              <w:rPr>
                <w:rFonts w:ascii="Times New Roman"/>
                <w:b w:val="false"/>
                <w:i w:val="false"/>
                <w:color w:val="000000"/>
                <w:sz w:val="20"/>
              </w:rPr>
              <w:t>
Концентраты белковые (протеиновые);</w:t>
            </w:r>
          </w:p>
          <w:p>
            <w:pPr>
              <w:spacing w:after="20"/>
              <w:ind w:left="20"/>
              <w:jc w:val="both"/>
            </w:pPr>
            <w:r>
              <w:rPr>
                <w:rFonts w:ascii="Times New Roman"/>
                <w:b w:val="false"/>
                <w:i w:val="false"/>
                <w:color w:val="000000"/>
                <w:sz w:val="20"/>
              </w:rPr>
              <w:t>
Соевый изолят;</w:t>
            </w:r>
          </w:p>
          <w:p>
            <w:pPr>
              <w:spacing w:after="20"/>
              <w:ind w:left="20"/>
              <w:jc w:val="both"/>
            </w:pPr>
            <w:r>
              <w:rPr>
                <w:rFonts w:ascii="Times New Roman"/>
                <w:b w:val="false"/>
                <w:i w:val="false"/>
                <w:color w:val="000000"/>
                <w:sz w:val="20"/>
              </w:rPr>
              <w:t>
Кислота лимонная;</w:t>
            </w:r>
          </w:p>
          <w:p>
            <w:pPr>
              <w:spacing w:after="20"/>
              <w:ind w:left="20"/>
              <w:jc w:val="both"/>
            </w:pPr>
            <w:r>
              <w:rPr>
                <w:rFonts w:ascii="Times New Roman"/>
                <w:b w:val="false"/>
                <w:i w:val="false"/>
                <w:color w:val="000000"/>
                <w:sz w:val="20"/>
              </w:rPr>
              <w:t>
Лецитин и фосфолипиды растительные;</w:t>
            </w:r>
          </w:p>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кроме лизина и глутаминовой кислоты;</w:t>
            </w:r>
          </w:p>
          <w:p>
            <w:pPr>
              <w:spacing w:after="20"/>
              <w:ind w:left="20"/>
              <w:jc w:val="both"/>
            </w:pPr>
            <w:r>
              <w:rPr>
                <w:rFonts w:ascii="Times New Roman"/>
                <w:b w:val="false"/>
                <w:i w:val="false"/>
                <w:color w:val="000000"/>
                <w:sz w:val="20"/>
              </w:rPr>
              <w:t>
Лизин, кислота глутаминовая и их соли.</w:t>
            </w:r>
          </w:p>
          <w:p>
            <w:pPr>
              <w:spacing w:after="20"/>
              <w:ind w:left="20"/>
              <w:jc w:val="both"/>
            </w:pPr>
            <w:r>
              <w:rPr>
                <w:rFonts w:ascii="Times New Roman"/>
                <w:b w:val="false"/>
                <w:i w:val="false"/>
                <w:color w:val="000000"/>
                <w:sz w:val="20"/>
              </w:rPr>
              <w:t xml:space="preserve">
Перечень продукции высокой технологичной сложности составлен в соответствии с Методикой оценки уровня передела товара для включения в перечень приоритетных товаров,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индустрии и инфраструктурного развития Республики Казахстан от 20 мая 2022 года № 273 (зарегистрирован в Реестре государственной регистрации нормативных правовых актов № 28242).</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28 "Создание и расширение предприятия по производству сахара"</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Предприятие по переработке сахарной свеклы с необходимым оборудованием для приемки и переработки сырья. Условия для расчета субсидий: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5000 тонн в сутки по сырью</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1600 тонн в сутки по сырью</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Свеклоприемный пункт: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автомобильные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сырьевой лаборатории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буртоукладочная машина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активного вентилирования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Линия по переработке жома (прессование)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жома (грануляция)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и техника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техники 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29 "Расширение предприятия по производству хлебобулочных и/или кондитерских изделий мощностью от 2 000 тонн продукции в год"</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хлебобулочных и/или кондитерских изделий</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готовой продукции/год</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30 "Расширение яичных птицефабрик с увеличением производственной мощности от 50 миллионов яиц в год"</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техники, оборудования тенге</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кур-несушек</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 одного птичника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молодняка</w:t>
            </w:r>
          </w:p>
        </w:tc>
        <w:tc>
          <w:tcPr>
            <w:tcW w:w="0" w:type="auto"/>
            <w:gridSpan w:val="10"/>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яиц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проектно-сметная документация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ремонтного молодняка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птице место</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промышленной несушки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птице место</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90 000 яиц/час</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45 000 яиц/час</w:t>
            </w:r>
          </w:p>
        </w:tc>
        <w:tc>
          <w:tcPr>
            <w:tcW w:w="0" w:type="auto"/>
            <w:gridSpan w:val="10"/>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187 886 250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убою птицы до 1 500 гол /час</w:t>
            </w:r>
          </w:p>
        </w:tc>
        <w:tc>
          <w:tcPr>
            <w:tcW w:w="0" w:type="auto"/>
            <w:gridSpan w:val="10"/>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переработке отходов убойного</w:t>
            </w:r>
          </w:p>
        </w:tc>
        <w:tc>
          <w:tcPr>
            <w:tcW w:w="0" w:type="auto"/>
            <w:gridSpan w:val="10"/>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0" w:type="auto"/>
            <w:gridSpan w:val="10"/>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Яйцевоз-рефрежератор</w:t>
            </w:r>
          </w:p>
        </w:tc>
        <w:tc>
          <w:tcPr>
            <w:tcW w:w="0" w:type="auto"/>
            <w:gridSpan w:val="10"/>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10"/>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Вилочный погрузчик</w:t>
            </w:r>
          </w:p>
        </w:tc>
        <w:tc>
          <w:tcPr>
            <w:tcW w:w="0" w:type="auto"/>
            <w:gridSpan w:val="10"/>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0"/>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Грузовик</w:t>
            </w:r>
          </w:p>
        </w:tc>
        <w:tc>
          <w:tcPr>
            <w:tcW w:w="0" w:type="auto"/>
            <w:gridSpan w:val="10"/>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31 "Приобретение оборудования для агрохимических лабораторий по анализу почв"</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по агрохимическому анализу почв, оснащенная необходимым оборудованием: автоматическим анализатором сегментированного потока c автосамплером, оборудованием для массовой пробоподготовки, спектрофотометром, оборудованием для массового анализа органического углерода (гумуса), пламенным фотометром с компрессором и манометром под газ, мельницей для размола почвенных проб, лабораторным аквадистиллятором, аналитическими весами, термостатом, сушильным шкафом, вытяжным оборудованием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Атомно-эмиссионный спектрометр с индуктивно-связанной плазмой с автосамплером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пробоотборник почвы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лабораторная посудомоечная машина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32 "Строительство, расширение завода по переработке куриного яйца"</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яйца с технологическим оборудованием, зданиями и сооружениями, инфраструктурой и оборудованием систем жизнедеятельности, с наличием необходимой техникой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в 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2025 года №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144" w:id="42"/>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по возмещению части расходов, понесенных субъектом агропромышленного комплекса при инвестиционных вложениях"</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Подписанный рабочим органом (услугодателем) договор инвестиционного субсидирования,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Услугодателя – с понедельника по пятницу включительно с 9:00 до 17:30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инвестиционным проектам, которые не введены в эксплуатацию, услугополучатель подает электронную заявку, подписанную электронной цифровой подписью (далее – ЭЦП)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По инвестиционным проектам, введенным в эксплуатацию, а также по фактически приобретенной технике, машинам и оборудованию, услугополучатель подает электронную заявку, подписанную ЭЦП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xml:space="preserve">
 После завершения работ услугополучатель подает электронную заявку на инвестиционное субсидирование по форме согласно приложению 3 к Правилам субсидирования по возмещению части расходов, понесенных субъектом агропромышленного комплекса, при инвестиционных вложениях (далее – Правила),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подписанную ЭЦП услугополучателя,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К заявке прилагаются следующие подтверждающие, правоустанавливающие и (или) регистрационные документы:</w:t>
            </w:r>
          </w:p>
          <w:p>
            <w:pPr>
              <w:spacing w:after="20"/>
              <w:ind w:left="20"/>
              <w:jc w:val="both"/>
            </w:pPr>
            <w:r>
              <w:rPr>
                <w:rFonts w:ascii="Times New Roman"/>
                <w:b w:val="false"/>
                <w:i w:val="false"/>
                <w:color w:val="000000"/>
                <w:sz w:val="20"/>
              </w:rPr>
              <w:t xml:space="preserve">
 1) копии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(по случаям, указанным в пункте 15 Правил) в соответствии с формой акта приемки объекта в эксплуатацию,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 а также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73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2) копии акта ввода оборудования в эксплуатацию между покупателем и поставщиком (при приобретении оборудования);</w:t>
            </w:r>
          </w:p>
          <w:p>
            <w:pPr>
              <w:spacing w:after="20"/>
              <w:ind w:left="20"/>
              <w:jc w:val="both"/>
            </w:pPr>
            <w:r>
              <w:rPr>
                <w:rFonts w:ascii="Times New Roman"/>
                <w:b w:val="false"/>
                <w:i w:val="false"/>
                <w:color w:val="000000"/>
                <w:sz w:val="20"/>
              </w:rPr>
              <w:t>
3) копии договоров купли-продажи, электронные и/или бумажные счета-фактуры (за исключением приобретения товаров в финансовый лизинг)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p>
            <w:pPr>
              <w:spacing w:after="20"/>
              <w:ind w:left="20"/>
              <w:jc w:val="both"/>
            </w:pPr>
            <w:r>
              <w:rPr>
                <w:rFonts w:ascii="Times New Roman"/>
                <w:b w:val="false"/>
                <w:i w:val="false"/>
                <w:color w:val="000000"/>
                <w:sz w:val="20"/>
              </w:rPr>
              <w:t xml:space="preserve">
 4)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0"/>
              </w:rPr>
              <w:t>статьей 60</w:t>
            </w:r>
            <w:r>
              <w:rPr>
                <w:rFonts w:ascii="Times New Roman"/>
                <w:b w:val="false"/>
                <w:i w:val="false"/>
                <w:color w:val="000000"/>
                <w:sz w:val="20"/>
              </w:rPr>
              <w:t xml:space="preserve"> и </w:t>
            </w:r>
            <w:r>
              <w:rPr>
                <w:rFonts w:ascii="Times New Roman"/>
                <w:b w:val="false"/>
                <w:i w:val="false"/>
                <w:color w:val="000000"/>
                <w:sz w:val="20"/>
              </w:rPr>
              <w:t>главой 9-1</w:t>
            </w:r>
            <w:r>
              <w:rPr>
                <w:rFonts w:ascii="Times New Roman"/>
                <w:b w:val="false"/>
                <w:i w:val="false"/>
                <w:color w:val="000000"/>
                <w:sz w:val="20"/>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p>
            <w:pPr>
              <w:spacing w:after="20"/>
              <w:ind w:left="20"/>
              <w:jc w:val="both"/>
            </w:pPr>
            <w:r>
              <w:rPr>
                <w:rFonts w:ascii="Times New Roman"/>
                <w:b w:val="false"/>
                <w:i w:val="false"/>
                <w:color w:val="000000"/>
                <w:sz w:val="20"/>
              </w:rPr>
              <w:t>
5) копии актов приема-передачи техники, машин, оборудования;</w:t>
            </w:r>
          </w:p>
          <w:p>
            <w:pPr>
              <w:spacing w:after="20"/>
              <w:ind w:left="20"/>
              <w:jc w:val="both"/>
            </w:pPr>
            <w:r>
              <w:rPr>
                <w:rFonts w:ascii="Times New Roman"/>
                <w:b w:val="false"/>
                <w:i w:val="false"/>
                <w:color w:val="000000"/>
                <w:sz w:val="20"/>
              </w:rPr>
              <w:t>
6)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p>
            <w:pPr>
              <w:spacing w:after="20"/>
              <w:ind w:left="20"/>
              <w:jc w:val="both"/>
            </w:pPr>
            <w:r>
              <w:rPr>
                <w:rFonts w:ascii="Times New Roman"/>
                <w:b w:val="false"/>
                <w:i w:val="false"/>
                <w:color w:val="000000"/>
                <w:sz w:val="20"/>
              </w:rPr>
              <w:t>
7) в случае подачи заявки на получение второго транша в соответствии с подпунктом 2) пункта 16 Правил инвестор (услугополучатель) прикрепляет в электронном формате "PDF (Portable Document Format)" (сканированная копия бумажного варианта) подтверждающие документы:</w:t>
            </w:r>
          </w:p>
          <w:p>
            <w:pPr>
              <w:spacing w:after="20"/>
              <w:ind w:left="20"/>
              <w:jc w:val="both"/>
            </w:pPr>
            <w:r>
              <w:rPr>
                <w:rFonts w:ascii="Times New Roman"/>
                <w:b w:val="false"/>
                <w:i w:val="false"/>
                <w:color w:val="000000"/>
                <w:sz w:val="20"/>
              </w:rPr>
              <w:t>
бизнес-план;</w:t>
            </w:r>
          </w:p>
          <w:p>
            <w:pPr>
              <w:spacing w:after="20"/>
              <w:ind w:left="20"/>
              <w:jc w:val="both"/>
            </w:pPr>
            <w:r>
              <w:rPr>
                <w:rFonts w:ascii="Times New Roman"/>
                <w:b w:val="false"/>
                <w:i w:val="false"/>
                <w:color w:val="000000"/>
                <w:sz w:val="20"/>
              </w:rPr>
              <w:t>
электронные счета-фактуры по реализации готовой продукции;</w:t>
            </w:r>
          </w:p>
          <w:p>
            <w:pPr>
              <w:spacing w:after="20"/>
              <w:ind w:left="20"/>
              <w:jc w:val="both"/>
            </w:pPr>
            <w:r>
              <w:rPr>
                <w:rFonts w:ascii="Times New Roman"/>
                <w:b w:val="false"/>
                <w:i w:val="false"/>
                <w:color w:val="000000"/>
                <w:sz w:val="20"/>
              </w:rPr>
              <w:t>
8) копии свидетельства о постановке на регистрационный учет по НДС (для субъектов АПК, состоящих на регистрационном учете по НДС);</w:t>
            </w:r>
          </w:p>
          <w:p>
            <w:pPr>
              <w:spacing w:after="20"/>
              <w:ind w:left="20"/>
              <w:jc w:val="both"/>
            </w:pPr>
            <w:r>
              <w:rPr>
                <w:rFonts w:ascii="Times New Roman"/>
                <w:b w:val="false"/>
                <w:i w:val="false"/>
                <w:color w:val="000000"/>
                <w:sz w:val="20"/>
              </w:rPr>
              <w:t>
9) по паспорту проекта № 4 дополнительно:</w:t>
            </w:r>
          </w:p>
          <w:p>
            <w:pPr>
              <w:spacing w:after="20"/>
              <w:ind w:left="20"/>
              <w:jc w:val="both"/>
            </w:pPr>
            <w:r>
              <w:rPr>
                <w:rFonts w:ascii="Times New Roman"/>
                <w:b w:val="false"/>
                <w:i w:val="false"/>
                <w:color w:val="000000"/>
                <w:sz w:val="20"/>
              </w:rPr>
              <w:t>
копию документа, подтверждающего государственную регистрацию прав на водохозяйственное сооружение;</w:t>
            </w:r>
          </w:p>
          <w:p>
            <w:pPr>
              <w:spacing w:after="20"/>
              <w:ind w:left="20"/>
              <w:jc w:val="both"/>
            </w:pPr>
            <w:r>
              <w:rPr>
                <w:rFonts w:ascii="Times New Roman"/>
                <w:b w:val="false"/>
                <w:i w:val="false"/>
                <w:color w:val="000000"/>
                <w:sz w:val="20"/>
              </w:rPr>
              <w:t>
по колодцам (скважинам) для пустынных и полупустынных зон – копию сведений о качественном состоянии земельного участка с указанием принадлежности к природным зонам;</w:t>
            </w:r>
          </w:p>
          <w:p>
            <w:pPr>
              <w:spacing w:after="20"/>
              <w:ind w:left="20"/>
              <w:jc w:val="both"/>
            </w:pPr>
            <w:r>
              <w:rPr>
                <w:rFonts w:ascii="Times New Roman"/>
                <w:b w:val="false"/>
                <w:i w:val="false"/>
                <w:color w:val="000000"/>
                <w:sz w:val="20"/>
              </w:rPr>
              <w:t xml:space="preserve">
копию технического паспорта водозаборной скважины по форме согласно приложению 2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водных ресурсов и ирригации Республики Казахстан от 10 июля 2025 года № 170-НҚ "Об утверждении Правил проведения паспортизации водохозяйственных и гидротехнических сооружений, а также формы паспорта водохозяйственных и гидротехнических сооружений" (зарегистрирован в Реестре государственной регистрации нормативных правовых актов № 36439);</w:t>
            </w:r>
          </w:p>
          <w:p>
            <w:pPr>
              <w:spacing w:after="20"/>
              <w:ind w:left="20"/>
              <w:jc w:val="both"/>
            </w:pPr>
            <w:r>
              <w:rPr>
                <w:rFonts w:ascii="Times New Roman"/>
                <w:b w:val="false"/>
                <w:i w:val="false"/>
                <w:color w:val="000000"/>
                <w:sz w:val="20"/>
              </w:rPr>
              <w:t>
копии электронных счет-фактур, платежных документов, подтверждающих факт оплаты инвестором (услугополучателем) услуг подрядной организации по строительству и бурению колодцев (скважин), а также стоимость труб с указанием его толщины и диаметра;</w:t>
            </w:r>
          </w:p>
          <w:p>
            <w:pPr>
              <w:spacing w:after="20"/>
              <w:ind w:left="20"/>
              <w:jc w:val="both"/>
            </w:pPr>
            <w:r>
              <w:rPr>
                <w:rFonts w:ascii="Times New Roman"/>
                <w:b w:val="false"/>
                <w:i w:val="false"/>
                <w:color w:val="000000"/>
                <w:sz w:val="20"/>
              </w:rPr>
              <w:t>
копию заключенного договора с подрядчиком;</w:t>
            </w:r>
          </w:p>
          <w:p>
            <w:pPr>
              <w:spacing w:after="20"/>
              <w:ind w:left="20"/>
              <w:jc w:val="both"/>
            </w:pPr>
            <w:r>
              <w:rPr>
                <w:rFonts w:ascii="Times New Roman"/>
                <w:b w:val="false"/>
                <w:i w:val="false"/>
                <w:color w:val="000000"/>
                <w:sz w:val="20"/>
              </w:rPr>
              <w:t>
копии лицензии подрядчика на строительно-монтажные работы по подвиду буровые работы в грунте, а также на изыскательскую деятельность по подвиду полевые исследования грунтов, гидрогеологические исследования;</w:t>
            </w:r>
          </w:p>
          <w:p>
            <w:pPr>
              <w:spacing w:after="20"/>
              <w:ind w:left="20"/>
              <w:jc w:val="both"/>
            </w:pPr>
            <w:r>
              <w:rPr>
                <w:rFonts w:ascii="Times New Roman"/>
                <w:b w:val="false"/>
                <w:i w:val="false"/>
                <w:color w:val="000000"/>
                <w:sz w:val="20"/>
              </w:rPr>
              <w:t>
10) справка финансового института, в котором открыт текущий счет инвестора (услугополучателя) с указанием реквизита счета инвестора (услугополучателя) для перечисления инвестиционных субсидий в случае использования инвестором (услугополучателем) собственных средств;</w:t>
            </w:r>
          </w:p>
          <w:p>
            <w:pPr>
              <w:spacing w:after="20"/>
              <w:ind w:left="20"/>
              <w:jc w:val="both"/>
            </w:pPr>
            <w:r>
              <w:rPr>
                <w:rFonts w:ascii="Times New Roman"/>
                <w:b w:val="false"/>
                <w:i w:val="false"/>
                <w:color w:val="000000"/>
                <w:sz w:val="20"/>
              </w:rPr>
              <w:t>
11) справка финансового института с указанием реквизита счета финансового института для перечисления инвестиционных субсидий в счет погашения основного долга инвестора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 77.</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2025 года №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176" w:id="4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3"/>
    <w:p>
      <w:pPr>
        <w:spacing w:after="0"/>
        <w:ind w:left="0"/>
        <w:jc w:val="both"/>
      </w:pPr>
      <w:bookmarkStart w:name="z177" w:id="44"/>
      <w:r>
        <w:rPr>
          <w:rFonts w:ascii="Times New Roman"/>
          <w:b w:val="false"/>
          <w:i w:val="false"/>
          <w:color w:val="000000"/>
          <w:sz w:val="28"/>
        </w:rPr>
        <w:t>
      Представляется: в Министерство сельского хозяйства Республики Казахстан</w:t>
      </w:r>
    </w:p>
    <w:bookmarkEnd w:id="44"/>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https://gosagro.kz/auth/login</w:t>
      </w:r>
    </w:p>
    <w:bookmarkStart w:name="z178" w:id="45"/>
    <w:p>
      <w:pPr>
        <w:spacing w:after="0"/>
        <w:ind w:left="0"/>
        <w:jc w:val="left"/>
      </w:pPr>
      <w:r>
        <w:rPr>
          <w:rFonts w:ascii="Times New Roman"/>
          <w:b/>
          <w:i w:val="false"/>
          <w:color w:val="000000"/>
        </w:rPr>
        <w:t xml:space="preserve"> Наименование административной формы:</w:t>
      </w:r>
      <w:r>
        <w:br/>
      </w:r>
      <w:r>
        <w:rPr>
          <w:rFonts w:ascii="Times New Roman"/>
          <w:b/>
          <w:i w:val="false"/>
          <w:color w:val="000000"/>
        </w:rPr>
        <w:t>Отчет об освоении субсидий на возмещение части расходов, понесенных субъектом</w:t>
      </w:r>
      <w:r>
        <w:br/>
      </w:r>
      <w:r>
        <w:rPr>
          <w:rFonts w:ascii="Times New Roman"/>
          <w:b/>
          <w:i w:val="false"/>
          <w:color w:val="000000"/>
        </w:rPr>
        <w:t>агропромышленного комплекса, при инвестиционных вложениях</w:t>
      </w:r>
    </w:p>
    <w:bookmarkEnd w:id="45"/>
    <w:bookmarkStart w:name="z179" w:id="4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1-ИС</w:t>
      </w:r>
    </w:p>
    <w:bookmarkEnd w:id="46"/>
    <w:bookmarkStart w:name="z180" w:id="47"/>
    <w:p>
      <w:pPr>
        <w:spacing w:after="0"/>
        <w:ind w:left="0"/>
        <w:jc w:val="both"/>
      </w:pPr>
      <w:r>
        <w:rPr>
          <w:rFonts w:ascii="Times New Roman"/>
          <w:b w:val="false"/>
          <w:i w:val="false"/>
          <w:color w:val="000000"/>
          <w:sz w:val="28"/>
        </w:rPr>
        <w:t>
      Периодичность: ежеквартально, ежегодно</w:t>
      </w:r>
    </w:p>
    <w:bookmarkEnd w:id="47"/>
    <w:bookmarkStart w:name="z181" w:id="48"/>
    <w:p>
      <w:pPr>
        <w:spacing w:after="0"/>
        <w:ind w:left="0"/>
        <w:jc w:val="both"/>
      </w:pPr>
      <w:r>
        <w:rPr>
          <w:rFonts w:ascii="Times New Roman"/>
          <w:b w:val="false"/>
          <w:i w:val="false"/>
          <w:color w:val="000000"/>
          <w:sz w:val="28"/>
        </w:rPr>
        <w:t>
      Отчетный период: ___ квартал 20___ года, 20___ год</w:t>
      </w:r>
    </w:p>
    <w:bookmarkEnd w:id="48"/>
    <w:bookmarkStart w:name="z182" w:id="4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w:t>
      </w:r>
    </w:p>
    <w:bookmarkEnd w:id="49"/>
    <w:bookmarkStart w:name="z183" w:id="50"/>
    <w:p>
      <w:pPr>
        <w:spacing w:after="0"/>
        <w:ind w:left="0"/>
        <w:jc w:val="both"/>
      </w:pPr>
      <w:r>
        <w:rPr>
          <w:rFonts w:ascii="Times New Roman"/>
          <w:b w:val="false"/>
          <w:i w:val="false"/>
          <w:color w:val="000000"/>
          <w:sz w:val="28"/>
        </w:rPr>
        <w:t>
      Срок представления формы административных данных: ежеквартально, до пятого числа месяца, следующего за отчетным кварталом, и ежегодно, до десятого января календарного года.</w:t>
      </w:r>
    </w:p>
    <w:bookmarkEnd w:id="50"/>
    <w:bookmarkStart w:name="z184" w:id="51"/>
    <w:p>
      <w:pPr>
        <w:spacing w:after="0"/>
        <w:ind w:left="0"/>
        <w:jc w:val="both"/>
      </w:pPr>
      <w:r>
        <w:rPr>
          <w:rFonts w:ascii="Times New Roman"/>
          <w:b w:val="false"/>
          <w:i w:val="false"/>
          <w:color w:val="000000"/>
          <w:sz w:val="28"/>
        </w:rPr>
        <w:t xml:space="preserve">
      Бизнес-идентификационный номер </w:t>
      </w:r>
    </w:p>
    <w:bookmarkEnd w:id="51"/>
    <w:p>
      <w:pPr>
        <w:spacing w:after="0"/>
        <w:ind w:left="0"/>
        <w:jc w:val="both"/>
      </w:pPr>
      <w:r>
        <w:drawing>
          <wp:inline distT="0" distB="0" distL="0" distR="0">
            <wp:extent cx="480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00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52"/>
    <w:p>
      <w:pPr>
        <w:spacing w:after="0"/>
        <w:ind w:left="0"/>
        <w:jc w:val="both"/>
      </w:pPr>
      <w:r>
        <w:rPr>
          <w:rFonts w:ascii="Times New Roman"/>
          <w:b w:val="false"/>
          <w:i w:val="false"/>
          <w:color w:val="000000"/>
          <w:sz w:val="28"/>
        </w:rPr>
        <w:t>
      Метод сбора: в электронном виде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 инвестора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паспорта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 (производственная мощность)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на проектную мощность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53"/>
    <w:p>
      <w:pPr>
        <w:spacing w:after="0"/>
        <w:ind w:left="0"/>
        <w:jc w:val="both"/>
      </w:pPr>
      <w:r>
        <w:rPr>
          <w:rFonts w:ascii="Times New Roman"/>
          <w:b w:val="false"/>
          <w:i w:val="false"/>
          <w:color w:val="000000"/>
          <w:sz w:val="28"/>
        </w:rPr>
        <w:t>
      продолжение таблицы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постоянных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процент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число / месяц/год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решения рабочего органа, число/месяц/год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 субсидированию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7" w:id="54"/>
      <w:r>
        <w:rPr>
          <w:rFonts w:ascii="Times New Roman"/>
          <w:b w:val="false"/>
          <w:i w:val="false"/>
          <w:color w:val="000000"/>
          <w:sz w:val="28"/>
        </w:rPr>
        <w:t>
      Наименование ____________________________________________________</w:t>
      </w:r>
    </w:p>
    <w:bookmarkEnd w:id="54"/>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электронная цифровая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p>
      <w:pPr>
        <w:spacing w:after="0"/>
        <w:ind w:left="0"/>
        <w:jc w:val="both"/>
      </w:pPr>
      <w:r>
        <w:rPr>
          <w:rFonts w:ascii="Times New Roman"/>
          <w:b w:val="false"/>
          <w:i w:val="false"/>
          <w:color w:val="000000"/>
          <w:sz w:val="28"/>
        </w:rPr>
        <w:t>Первый руководитель-администратор бюджетных программ нижестоящего</w:t>
      </w:r>
    </w:p>
    <w:p>
      <w:pPr>
        <w:spacing w:after="0"/>
        <w:ind w:left="0"/>
        <w:jc w:val="both"/>
      </w:pPr>
      <w:r>
        <w:rPr>
          <w:rFonts w:ascii="Times New Roman"/>
          <w:b w:val="false"/>
          <w:i w:val="false"/>
          <w:color w:val="000000"/>
          <w:sz w:val="28"/>
        </w:rPr>
        <w:t>бюджета 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p>
      <w:pPr>
        <w:spacing w:after="0"/>
        <w:ind w:left="0"/>
        <w:jc w:val="both"/>
      </w:pPr>
      <w:r>
        <w:rPr>
          <w:rFonts w:ascii="Times New Roman"/>
          <w:b w:val="false"/>
          <w:i w:val="false"/>
          <w:color w:val="000000"/>
          <w:sz w:val="28"/>
        </w:rPr>
        <w:t>Подписано и отправлено финансовым институтом</w:t>
      </w:r>
    </w:p>
    <w:p>
      <w:pPr>
        <w:spacing w:after="0"/>
        <w:ind w:left="0"/>
        <w:jc w:val="both"/>
      </w:pPr>
      <w:r>
        <w:rPr>
          <w:rFonts w:ascii="Times New Roman"/>
          <w:b w:val="false"/>
          <w:i w:val="false"/>
          <w:color w:val="000000"/>
          <w:sz w:val="28"/>
        </w:rPr>
        <w:t>в ____ часов "___" _________ 20__ года:</w:t>
      </w:r>
    </w:p>
    <w:p>
      <w:pPr>
        <w:spacing w:after="0"/>
        <w:ind w:left="0"/>
        <w:jc w:val="both"/>
      </w:pPr>
      <w:r>
        <w:rPr>
          <w:rFonts w:ascii="Times New Roman"/>
          <w:b w:val="false"/>
          <w:i w:val="false"/>
          <w:color w:val="000000"/>
          <w:sz w:val="28"/>
        </w:rPr>
        <w:t>Данные из электронной цифровой подписи</w:t>
      </w:r>
    </w:p>
    <w:bookmarkStart w:name="z188" w:id="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освоении субсидий на возмещение части расходов, понесенных субъектом агропромышленного комплекса, при инвестиционных вложениях" (индекс: форма № 1-ИС, периодичность: ежеквартально, ежегодно)</w:t>
      </w:r>
    </w:p>
    <w:bookmarkEnd w:id="55"/>
    <w:bookmarkStart w:name="z189" w:id="56"/>
    <w:p>
      <w:pPr>
        <w:spacing w:after="0"/>
        <w:ind w:left="0"/>
        <w:jc w:val="left"/>
      </w:pPr>
      <w:r>
        <w:rPr>
          <w:rFonts w:ascii="Times New Roman"/>
          <w:b/>
          <w:i w:val="false"/>
          <w:color w:val="000000"/>
        </w:rPr>
        <w:t xml:space="preserve"> Глава 1. Общие положения</w:t>
      </w:r>
    </w:p>
    <w:bookmarkEnd w:id="56"/>
    <w:bookmarkStart w:name="z190" w:id="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освоении субсидий на возмещение части расходов, понесенных субъектом агропромышленного комплекса, при инвестиционных вложениях" (далее – Форма).</w:t>
      </w:r>
    </w:p>
    <w:bookmarkEnd w:id="57"/>
    <w:bookmarkStart w:name="z191" w:id="58"/>
    <w:p>
      <w:pPr>
        <w:spacing w:after="0"/>
        <w:ind w:left="0"/>
        <w:jc w:val="both"/>
      </w:pPr>
      <w:r>
        <w:rPr>
          <w:rFonts w:ascii="Times New Roman"/>
          <w:b w:val="false"/>
          <w:i w:val="false"/>
          <w:color w:val="000000"/>
          <w:sz w:val="28"/>
        </w:rPr>
        <w:t>
      2. Форма заполняется структурным подразделением местного исполнительного органа области, города республиканского значения и столицы, реализующим функции в области сельского хозяйства.</w:t>
      </w:r>
    </w:p>
    <w:bookmarkEnd w:id="58"/>
    <w:bookmarkStart w:name="z192" w:id="59"/>
    <w:p>
      <w:pPr>
        <w:spacing w:after="0"/>
        <w:ind w:left="0"/>
        <w:jc w:val="both"/>
      </w:pPr>
      <w:r>
        <w:rPr>
          <w:rFonts w:ascii="Times New Roman"/>
          <w:b w:val="false"/>
          <w:i w:val="false"/>
          <w:color w:val="000000"/>
          <w:sz w:val="28"/>
        </w:rPr>
        <w:t>
      3. Форма подписывается исполнителем и руководителем местного исполнительного органа области, города республиканского значения и столицы, либо лицом, исполняющим его обязанности.</w:t>
      </w:r>
    </w:p>
    <w:bookmarkEnd w:id="59"/>
    <w:bookmarkStart w:name="z193" w:id="60"/>
    <w:p>
      <w:pPr>
        <w:spacing w:after="0"/>
        <w:ind w:left="0"/>
        <w:jc w:val="both"/>
      </w:pPr>
      <w:r>
        <w:rPr>
          <w:rFonts w:ascii="Times New Roman"/>
          <w:b w:val="false"/>
          <w:i w:val="false"/>
          <w:color w:val="000000"/>
          <w:sz w:val="28"/>
        </w:rPr>
        <w:t>
      4. Форма предоставляется в Министерство сельского хозяйства Республики Казахстан структурным подразделением местного исполнительного органа области, города республиканского значения и столицы, реализующим функции в области сельского хозяйства, ежеквартально, до пятого числа месяца, следующего за отчетным кварталом, и ежегодно, до десятого января календарного года.</w:t>
      </w:r>
    </w:p>
    <w:bookmarkEnd w:id="60"/>
    <w:bookmarkStart w:name="z194" w:id="61"/>
    <w:p>
      <w:pPr>
        <w:spacing w:after="0"/>
        <w:ind w:left="0"/>
        <w:jc w:val="both"/>
      </w:pPr>
      <w:r>
        <w:rPr>
          <w:rFonts w:ascii="Times New Roman"/>
          <w:b w:val="false"/>
          <w:i w:val="false"/>
          <w:color w:val="000000"/>
          <w:sz w:val="28"/>
        </w:rPr>
        <w:t>
      5. Форма заполняется на казахском или русском языках.</w:t>
      </w:r>
    </w:p>
    <w:bookmarkEnd w:id="61"/>
    <w:bookmarkStart w:name="z195" w:id="62"/>
    <w:p>
      <w:pPr>
        <w:spacing w:after="0"/>
        <w:ind w:left="0"/>
        <w:jc w:val="left"/>
      </w:pPr>
      <w:r>
        <w:rPr>
          <w:rFonts w:ascii="Times New Roman"/>
          <w:b/>
          <w:i w:val="false"/>
          <w:color w:val="000000"/>
        </w:rPr>
        <w:t xml:space="preserve"> Глава 2. Пояснение по заполнению Формы</w:t>
      </w:r>
    </w:p>
    <w:bookmarkEnd w:id="62"/>
    <w:bookmarkStart w:name="z196" w:id="63"/>
    <w:p>
      <w:pPr>
        <w:spacing w:after="0"/>
        <w:ind w:left="0"/>
        <w:jc w:val="both"/>
      </w:pPr>
      <w:r>
        <w:rPr>
          <w:rFonts w:ascii="Times New Roman"/>
          <w:b w:val="false"/>
          <w:i w:val="false"/>
          <w:color w:val="000000"/>
          <w:sz w:val="28"/>
        </w:rPr>
        <w:t>
      6. В графе 1 указывается порядковый номер.</w:t>
      </w:r>
    </w:p>
    <w:bookmarkEnd w:id="63"/>
    <w:bookmarkStart w:name="z197" w:id="64"/>
    <w:p>
      <w:pPr>
        <w:spacing w:after="0"/>
        <w:ind w:left="0"/>
        <w:jc w:val="both"/>
      </w:pPr>
      <w:r>
        <w:rPr>
          <w:rFonts w:ascii="Times New Roman"/>
          <w:b w:val="false"/>
          <w:i w:val="false"/>
          <w:color w:val="000000"/>
          <w:sz w:val="28"/>
        </w:rPr>
        <w:t>
      7. В графе 2 указывается наименование инвестора.</w:t>
      </w:r>
    </w:p>
    <w:bookmarkEnd w:id="64"/>
    <w:bookmarkStart w:name="z198" w:id="65"/>
    <w:p>
      <w:pPr>
        <w:spacing w:after="0"/>
        <w:ind w:left="0"/>
        <w:jc w:val="both"/>
      </w:pPr>
      <w:r>
        <w:rPr>
          <w:rFonts w:ascii="Times New Roman"/>
          <w:b w:val="false"/>
          <w:i w:val="false"/>
          <w:color w:val="000000"/>
          <w:sz w:val="28"/>
        </w:rPr>
        <w:t>
      8. В графе 3 указывается индивидуальный идентификационный номер/бизнес-идентификационный номер инвестора.</w:t>
      </w:r>
    </w:p>
    <w:bookmarkEnd w:id="65"/>
    <w:bookmarkStart w:name="z199" w:id="66"/>
    <w:p>
      <w:pPr>
        <w:spacing w:after="0"/>
        <w:ind w:left="0"/>
        <w:jc w:val="both"/>
      </w:pPr>
      <w:r>
        <w:rPr>
          <w:rFonts w:ascii="Times New Roman"/>
          <w:b w:val="false"/>
          <w:i w:val="false"/>
          <w:color w:val="000000"/>
          <w:sz w:val="28"/>
        </w:rPr>
        <w:t xml:space="preserve">
      9. В графе 4 указывается наименование паспорта проекта в соответствии с приложениями 2 и 3 к Правилам субсидирования по возмещению части расходов, понесенных субъектом агропромышленного комплекса, при инвестиционных вложениях,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w:t>
      </w:r>
    </w:p>
    <w:bookmarkEnd w:id="66"/>
    <w:bookmarkStart w:name="z200" w:id="67"/>
    <w:p>
      <w:pPr>
        <w:spacing w:after="0"/>
        <w:ind w:left="0"/>
        <w:jc w:val="both"/>
      </w:pPr>
      <w:r>
        <w:rPr>
          <w:rFonts w:ascii="Times New Roman"/>
          <w:b w:val="false"/>
          <w:i w:val="false"/>
          <w:color w:val="000000"/>
          <w:sz w:val="28"/>
        </w:rPr>
        <w:t>
      10. В графах 5, 6, 7 и 8 указывается производственная мощность предприятия на основании статистической формы инвестора и первичных документов, подтверждающих сбыт произведенной продукции по видам в натуральном и стоимостном выражении.</w:t>
      </w:r>
    </w:p>
    <w:bookmarkEnd w:id="67"/>
    <w:bookmarkStart w:name="z201" w:id="68"/>
    <w:p>
      <w:pPr>
        <w:spacing w:after="0"/>
        <w:ind w:left="0"/>
        <w:jc w:val="both"/>
      </w:pPr>
      <w:r>
        <w:rPr>
          <w:rFonts w:ascii="Times New Roman"/>
          <w:b w:val="false"/>
          <w:i w:val="false"/>
          <w:color w:val="000000"/>
          <w:sz w:val="28"/>
        </w:rPr>
        <w:t>
      11. В графе 9 указывается количество постоянных рабочих мест.</w:t>
      </w:r>
    </w:p>
    <w:bookmarkEnd w:id="68"/>
    <w:bookmarkStart w:name="z202" w:id="69"/>
    <w:p>
      <w:pPr>
        <w:spacing w:after="0"/>
        <w:ind w:left="0"/>
        <w:jc w:val="both"/>
      </w:pPr>
      <w:r>
        <w:rPr>
          <w:rFonts w:ascii="Times New Roman"/>
          <w:b w:val="false"/>
          <w:i w:val="false"/>
          <w:color w:val="000000"/>
          <w:sz w:val="28"/>
        </w:rPr>
        <w:t>
      12. В графах 10 и 11 указывается общая стоимость проекта, в том числе сумма, подлежащая субсидированию.</w:t>
      </w:r>
    </w:p>
    <w:bookmarkEnd w:id="69"/>
    <w:bookmarkStart w:name="z203" w:id="70"/>
    <w:p>
      <w:pPr>
        <w:spacing w:after="0"/>
        <w:ind w:left="0"/>
        <w:jc w:val="both"/>
      </w:pPr>
      <w:r>
        <w:rPr>
          <w:rFonts w:ascii="Times New Roman"/>
          <w:b w:val="false"/>
          <w:i w:val="false"/>
          <w:color w:val="000000"/>
          <w:sz w:val="28"/>
        </w:rPr>
        <w:t>
      13. В графе 12 указывается доля возмещения в соответствии с паспортом инвестиционного проекта.</w:t>
      </w:r>
    </w:p>
    <w:bookmarkEnd w:id="70"/>
    <w:bookmarkStart w:name="z204" w:id="71"/>
    <w:p>
      <w:pPr>
        <w:spacing w:after="0"/>
        <w:ind w:left="0"/>
        <w:jc w:val="both"/>
      </w:pPr>
      <w:r>
        <w:rPr>
          <w:rFonts w:ascii="Times New Roman"/>
          <w:b w:val="false"/>
          <w:i w:val="false"/>
          <w:color w:val="000000"/>
          <w:sz w:val="28"/>
        </w:rPr>
        <w:t>
      14. В графе 13 указывается сумма выплаченных субсидий.</w:t>
      </w:r>
    </w:p>
    <w:bookmarkEnd w:id="71"/>
    <w:bookmarkStart w:name="z205" w:id="72"/>
    <w:p>
      <w:pPr>
        <w:spacing w:after="0"/>
        <w:ind w:left="0"/>
        <w:jc w:val="both"/>
      </w:pPr>
      <w:r>
        <w:rPr>
          <w:rFonts w:ascii="Times New Roman"/>
          <w:b w:val="false"/>
          <w:i w:val="false"/>
          <w:color w:val="000000"/>
          <w:sz w:val="28"/>
        </w:rPr>
        <w:t>
      15. В графе 14 указывается дата ввода в эксплуатацию инвестиционного проекта.</w:t>
      </w:r>
    </w:p>
    <w:bookmarkEnd w:id="72"/>
    <w:bookmarkStart w:name="z206" w:id="73"/>
    <w:p>
      <w:pPr>
        <w:spacing w:after="0"/>
        <w:ind w:left="0"/>
        <w:jc w:val="both"/>
      </w:pPr>
      <w:r>
        <w:rPr>
          <w:rFonts w:ascii="Times New Roman"/>
          <w:b w:val="false"/>
          <w:i w:val="false"/>
          <w:color w:val="000000"/>
          <w:sz w:val="28"/>
        </w:rPr>
        <w:t>
      16. В графе 15 указываются дата и номер решения рабочего органа.</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