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43c3a" w14:textId="c943c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индустрии и инфраструктурного развития Республики Казахстан от 30 марта 2019 года № 171 "Об утверждении правил формирования тарифов"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транспорта Республики Казахстан от 10 октября 2025 года № 335. Зарегистрирован в Министерстве юстиции Республики Казахстан 14 октября 2025 года № 37124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индустрии и инфраструктурного развития Республики Казахстан от 30 марта 2019 года № 171 "Об утверждении правил формирования тарифов" (зарегистрирован в Реестре государственной регистрации нормативных правовых актов за № 18470)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формирования тарифов,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Тариф на услугу по обеспечению авиационной безопасности, за исключением обслуживания авиаперевозок, осуществляющих транзитные пролеты через воздушное пространство Республики Казахстан с осуществлением технических посадок в аэропортах Республики Казахстан в некоммерческих целях и по международным направлениям (далее – услуга по обеспечению авиационной безопасности), включает расчет затрат по операциям согласно Перечня услуг.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Единицей измерения услуги по обеспечению авиационной безопасности является: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воздушных судов, перевозящих пассажиров – 1 (один) вылетающий пассажир и (или) 1 (одна) тонна максимальной взлетной массы воздушного судна;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воздушных судов, перевозящих грузы и почту, а также не имеющих коммерческий груз (техническая посадка) – 1 (одна) тонна максимальной взлетной массы воздушного судна.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определении размера тарифов максимальная взлетная масса воздушного судна округляется до целого в тоннах: до 500 килограмм – в меньшую сторону, 500 килограмм – и выше в большую сторону.";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Расчет экономически обоснованного тарифа аэропортов состоит из: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расчета затратной части тарифа;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расчета доходной части тарифа и рассчитывается по следующей формуле: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= Тз + Р, где: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доходная часть тарифа;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Тз – затратная часть тарифа;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P – допустимый уровень прибыли.";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39-1 и 39-2 изложить в следующей редакции: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"39-1. Тариф на услуги аэропортов, отнесенные к сфере естественных монополий, определяется по формуле: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7"/>
    <w:p>
      <w:pPr>
        <w:spacing w:after="0"/>
        <w:ind w:left="0"/>
        <w:jc w:val="both"/>
      </w:pPr>
      <w:r>
        <w:drawing>
          <wp:inline distT="0" distB="0" distL="0" distR="0">
            <wp:extent cx="1485900" cy="736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736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доходная часть тарифа, определяемая в соответствии с пунктом 32 настоящих Правил;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планируемый годовой объем регулируемой услуги.";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39-2. При утверждении тарифа на услугу по обеспечению авиационной безопасности в соответствии с подпунктом 1) пункта 29 настоящих Правил, уровни тарифов на услугу по обеспечению авиационной безопасности для воздушных судов, перевозящих пассажиров, на каждый год периода их действия определяются по формулам: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1"/>
    <w:p>
      <w:pPr>
        <w:spacing w:after="0"/>
        <w:ind w:left="0"/>
        <w:jc w:val="both"/>
      </w:pPr>
      <w:r>
        <w:drawing>
          <wp:inline distT="0" distB="0" distL="0" distR="0">
            <wp:extent cx="7670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670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Тпасс. – тариф на услугу по обеспечению авиационной безопасности за 1 вылетающего пассажира;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Zинвест.пасс. – годовая сумма мероприятий утвержденной инвестиционной программы для инвестиций, связанных с безопасностью пассажиров;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Zрасходы пасс. – планируемые годовые производственные расходы структурных подразделений, задействованных при обеспечении авиационной безопасности пассажиров;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ZРП пасс. – планируемые годовые расходы периода, учитываемые по доле распределения в зависимости от численности персонала, задействованного в обеспечении авиационной безопасности пассажиров;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Qпасс. – планируемое годовое количество вылетающих пассажиров, проходящих досмотр;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27"/>
    <w:p>
      <w:pPr>
        <w:spacing w:after="0"/>
        <w:ind w:left="0"/>
        <w:jc w:val="both"/>
      </w:pPr>
      <w:r>
        <w:drawing>
          <wp:inline distT="0" distB="0" distL="0" distR="0">
            <wp:extent cx="7810500" cy="59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9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Ттонн – тариф на услугу по обеспечению авиационной безопасности за 1 тонну максимальной взлетной массы воздушного судна;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 – доходная часть тарифа регулируемой услуги, определяемая в соответствии с пунктом 32 настоящих Правил;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 – планируемый годовой объем регулируемой услуги.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утверждении тарифа на услугу по обеспечению авиационной безопасности за 1 тонну максимальной взлетной массы воздушного судна, а также в соответствии с подпунктом 2) пункта 29 настоящих Правил, уровень тарифа на услугу по обеспечению авиационной безопасности на каждый год периода его действия определяется по формуле, в соответствии с пунктом 39-1 настоящих Правил.";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"59. Прогнозируемый тарифный доход субъектов естественных монополий от оказания услуг аэронавигации в воздушном пространстве определяется по формуле: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ТДВП = ЗВПконт.+ЗВПнеконт.+ДУПВПинвест.+ДУПВПкачест., где: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ТДВП – прогнозируемый тарифный доход субъекта естественной монополии от оказания услуг аэронавигации в воздушном пространстве, тенге;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ЗВПконт. – суммарные экономически обоснованные плановые контролируемые затраты субъекта естественной монополии от оказания услуг аэронавигации в воздушном пространстве, рассчитанные на плановый объем услуг, тенге;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ЗВПнеконт. – суммарные экономически обоснованные плановые неконтролируемые затраты субъекта естественной монополии от оказания услуг аэронавигации в воздушном пространстве, рассчитанные на плановый объем услуг, тенге;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ДУПВПинвест. – допустимый уровень прибыли от оказания услуг аэронавигации в воздушном пространстве, направляемый на реализацию инвестиционной программы, тенге;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ДУПВПкачест. – допустимый уровень прибыли от оказания услуг аэронавигации в воздушном пространстве, направляемый на повышение качества, надежности регулируемых услуг и эффективности деятельности субъекта, тенге.";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"64. Прогнозируемый тарифный доход субъекта естественной монополии от оказания услуг аэронавигации в районе аэродромов определяется по формуле: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ТДра = Зраконт.+Зранеконт.+ДУПраинвест.+ДУПракачест., где: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ТДра – прогнозируемый тарифный доход субъекта естественной монополии от оказания услуг аэронавигации в районе аэродромов, тенге;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Зраконт. – суммарные экономически обоснованные плановые контролируемые затраты субъекта естественной монополии от оказания услуг аэронавигации в районе аэродромов, рассчитанные на плановый объем услуг, тенге;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Зранеконт. – суммарные экономически обоснованные плановые неконтролируемые затраты субъекта естественной монополии от оказания услуг аэронавигации в районе аэродромов, рассчитанные на плановый объем услуг, тенге;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ДУПраинвест. – допустимый уровень прибыли от оказания услуг аэронавигации в районе аэродромов, направляемый на реализацию инвестиционной программы, тенге;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ДУПракачест. – допустимый уровень прибыли от оказания услуг аэронавигации в районе аэродромов, направляемый на повышение качества, надежности регулируемых услуг и эффективности деятельности субъекта естественной монополии, тенге.";</w:t>
      </w:r>
    </w:p>
    <w:bookmarkEnd w:id="4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"67. Прогнозируемый тарифный доход субъектов естественных монополий на оказание услуг аэропорта определяется по формуле: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ТДуа = Зуаконт.+Зуанеконт.+ДУПуаинвест.+ДУПуакачест., где: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ТДуа – прогнозируемый тарифный доход субъекта естественной монополии на оказание услуги аэропорта, тенге;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Зуаконт. – суммарные экономически обоснованные плановые контролируемые затраты субъекта естественной монополии от оказания услуг аэропорта, рассчитанные на плановый объем услуг, тенге;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Зуанеконт. – суммарные экономически обоснованные плановые неконтролируемые затраты субъекта естественной монополии от оказания услуг аэропорта, рассчитанные на плановый объем услуг, тенге;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ДУПуаинвест. – допустимый уровень прибыли от оказания аэропорта, направляемый на реализацию инвестиционной программы, тенге;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ДУПуакачест. – допустимый уровень прибыли от оказания услуг аэропорта, направляемый на повышение качества, надежности регулируемых услуг и эффективности деятельности субъекта естественной монополии,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"73-2. К отчету об исполнении тарифной сметы прилагаются: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пояснительная записка об исполнении тарифной сметы с объяснением причин ее неисполнения;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 субъекта естественной монополии по форме,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за № 15384);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сведения о реализации смет затрат, направленных на ремонт, не приводящий к росту стоимости основных средств;</w:t>
      </w:r>
    </w:p>
    <w:bookmarkEnd w:id="56"/>
    <w:bookmarkStart w:name="z67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материалы, подтверждающие фактические затраты субъекта естественной монополии по тарифной смете (копии договоров, актов выполненных работ/приемов-передачи, накладных, счет-фактур, пообъектный перечень основных средств и нематериальных активов с указанием балансовой и остаточной стоимости, срока службы, годовой амортизации, расчеты);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материалы, подтверждающие постатейную экономию затрат с приложением материалов, подтверждающих фактическое использование указанной экономии, и (или) сокращения объемов предоставляемых регулируемых услуг;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внедрению субъектом естественной монополии более эффективных методов и технологий предоставления регулируемых услуг, реализации плана мероприятий по энергосбережению и повышению энергоэффективности;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протоколы конкурсных (тендерных) комиссий;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акты сверок с потребителями объемов предоставленных регулируемых услуг, выставленные счет-фактуры к оплате, реестры объемов предоставленных регулируемых услуг.";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"74. Обеспечение полноты, обоснованности и достоверности расчетов, документов, информации и других материалов, прилагаемых к отчетам об исполнении утвержденной тарифной сметы, а также об исполнении утвержденной инвестиционной программы, осуществляется субъектом естественной монополии в соответствии с законодательством Республики Казахстан.";</w:t>
      </w:r>
    </w:p>
    <w:bookmarkEnd w:id="6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"125. Для утверждения инвестиционной программы субъект естественной монополии представляет в ведомство уполномоченного органа заявление в произвольной форме с приложением: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планируемой субъектом естественной монополии инвестиционной программы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показателей эффективности планируемой субъектом естественных монополий инвестиционной программы субъекта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предусматривающих, в том числе расчет эффективности планируемой субъектом естественной монополии инвестиционной программы с указанием перечня реализуемых технологических и технических мероприятий, в том числе автоматизированных систем управления технологическим процессом и коммерческого учета (при наличии);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информации об инвестиционных затратах на реализацию инвестиционной программы с указанием стоимости приобретаемых основных средств, строительно-монтажных работ с приложением сравнительного анализа уровня цен, в том числе документального технического подтверждения необходимости приобретения основных средств и проведения работ, сводных сметных расчетов, объектных, локальных и ресурсных смет отдельно по каждому объекту, бизнес-план, прайс-листы, копии договоров, проектно-сметная документация, прошедшая экспертизу в установленном порядке;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документов, подтверждающих прогнозный размер и предварительные условия финансирования, в том числе заемных ресурсов (вознаграждение по заемным средствам, период финансирования, комиссионные выплаты, сроки и условия возврата заемных средств) или расчета экономической целесообразности не использования заемных средств (в том числе с подтверждением невозможности дальнейшего снижения затрат), в случае, если субъектом естественной монополии не планируется привлечение заемных средств для реализации планируемой инвестиционной программы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документов, подтверждающих размеры и условия финансирования инвестиционной программы в случае, если для их реализации выделяются средства из республиканского, местного бюджетов или привлекаются кредиты (инвестиции) под гарантии Правительства Республики Казахстан;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прогноза влияния планируемой субъектом естественной монополии инвестиционной программы на его тарифы в период ее реализации, с приложением проекта тарифа и тарифной сметы на регулируемые услуги субъекта естественной монополии,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Правилам.";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125-1 следующего содержания:</w:t>
      </w:r>
    </w:p>
    <w:bookmarkEnd w:id="70"/>
    <w:bookmarkStart w:name="z8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"125-1. Обеспечение полноты, обоснованности и достоверности расчетов, документов, информации и других материалов, прилагаемых к заявке на утверждение инвестиционной программы, осуществляется субъектом естественной монополии в соответствии с законодательством Республики Казахстан.";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127-1 следующего содержания: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"127-1. В срок не позднее 7 (семи) рабочих дней со дня получения заявления на утверждение инвестиционной программы или на изменение утвержденной инвестиционной программы ведомство уполномоченного органа письменно (бумажно или электронно) уведомляет субъекта естественной монополии о принятии заявления к рассмотрению или об отказе в его принятии с указанием причин отказа.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принятии к рассмотрению заявления на утверждение инвестиционной программы или на изменение утвержденной инвестиционной программы отказывается в случае: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подаче заявления на утверждение инвестиционной программы представление субъектом естественной монополии неполного пакета документов, указанных в пункте 125 настоящих Правил;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подаче заявления на изменение утвержденной инвестиционной программы представление субъектом естественной монополии неполного пакета документов, указанных в пункте 141 настоящих Правил;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несоответствие проекта инвестиционной программы или изменений в инвестиционную программу одному из критериев, указанных в пункте 126 настоящих Правил;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случае, если реализация новой инвестиционной программы или изменение утвержденной инвестиционной программы (за исключением реализации государственных программ и (или) национальных проектов, а также документов системы государственного планирования, утвержденных уполномоченным органом) требует повышения тарифа на оставшийся срок реализации утвержденной инвестиционной программы.";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129-1 следующего содержания:</w:t>
      </w:r>
    </w:p>
    <w:bookmarkEnd w:id="79"/>
    <w:bookmarkStart w:name="z92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"129-1. В проект инвестиционной программы не включаются мероприятия, которые на момент подачи заявления на утверждение инвестиционной программы исполнены.";</w:t>
      </w:r>
    </w:p>
    <w:bookmarkEnd w:id="8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"141. К заявлению об изменении утвержденной инвестиционной программы, прилагаются: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проект инвестиционной программы с учетом изменений с приложением материалов, обосновывающих внесение изменений в инвестиционную программу (документы, подтверждающие техническую необходимость предлагаемых мероприятий, прайс-листы, копии договоров, проектно-сметная документация, прошедшая экспертизу в установленном порядке);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оценка субъекта естественной монополии о необходимости внесения изменений в инвестиционную программу с приложением обосновывающих материалов;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возможные условия финансирования и возврата заемных средств;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если для реализации инвестиционной программы выделяются средства из республиканского и (или) местных бюджетов или привлекаются кредиты (инвестиции) под гарантии Правительства Республики Казахстан, то представляются документы, подтверждающие размеры и условия финансирования.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Прилагаемые документы прошиваются, пронумеровываются и заверяются подписью руководителя субъекта естественной монополии, либо лицом, замещающим его. Данное требование не распространяется на представление заявления в электронной форме. Финансовые документы подписываются руководителем и главным бухгалтером субъекта естественной монополии либо лицами, замещающими их.";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143-2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"143-2. К отчету об исполнении утвержденной инвестиционной программы прилагаются:</w:t>
      </w:r>
    </w:p>
    <w:bookmarkEnd w:id="87"/>
    <w:bookmarkStart w:name="z10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информация о плановых и фактических объемах предоставляемых регулируемых услуг;</w:t>
      </w:r>
    </w:p>
    <w:bookmarkEnd w:id="88"/>
    <w:bookmarkStart w:name="z10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отчет о прибылях и убытках по форме, утвержденный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28 июня 2017 года № 404 "Об утверждении перечня и форм годовой финансовой отчетности для публикации организациями публичного интереса (кроме финансовых организаций)" (зарегистрирован в Реестре государственной регистрации нормативных правовых актов за № 15384);</w:t>
      </w:r>
    </w:p>
    <w:bookmarkEnd w:id="89"/>
    <w:bookmarkStart w:name="z10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информация о фактических условиях и размерах финансирования инвестиционной программы;</w:t>
      </w:r>
    </w:p>
    <w:bookmarkEnd w:id="90"/>
    <w:bookmarkStart w:name="z10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информация о сопоставлении фактических показателей исполнения инвестиционной программы с показателями, утвержденными в инвестиционной программе в соответствии с перечнем целевых показателей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Правилам;</w:t>
      </w:r>
    </w:p>
    <w:bookmarkEnd w:id="91"/>
    <w:bookmarkStart w:name="z10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разъяснения причин отклонения достигнутых фактических показателей от показателей в утвержденной инвестиционной программе;</w:t>
      </w:r>
    </w:p>
    <w:bookmarkEnd w:id="92"/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материалы, подтверждающие фактическое исполнение мероприятий инвестиционной программы (копии договоров, актов выполненных работ, накладных, счет-фактур, пообъектный перечень основных средств и нематериальных активов с указанием балансовой и остаточной стоимости, срока службы, годовой амортизации);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протоколы конкурсных (тендерных) комиссий;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материалы по внедрению субъектом естественной монополии более эффективных методов и технологий предоставления регулируемых услуг.";</w:t>
      </w:r>
    </w:p>
    <w:bookmarkEnd w:id="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1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"158. Субъект государственно-частного партнерства, в том числе субъект концессии не позднее, чем за 90 (девяносто) календарных дней до введения в действие тарифа представляет заявку на определение тарифа в ведомство уполномоченного органа в электронной форме.";</w:t>
      </w:r>
    </w:p>
    <w:bookmarkEnd w:id="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"179. Временный понижающий коэффициент на регулируемые услуги аэропорта устанавливаются при соответствии одному из следующих критериев:</w:t>
      </w:r>
    </w:p>
    <w:bookmarkEnd w:id="97"/>
    <w:bookmarkStart w:name="z11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планируемый объем потребления регулируемых услуг, указанный в заявке на определенный период, превышает фактический объем потребления регулируемых услуг за аналогичный период предыдущего года;</w:t>
      </w:r>
    </w:p>
    <w:bookmarkEnd w:id="98"/>
    <w:bookmarkStart w:name="z11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незадействованных или слабо задействованных мощностей аэропорта.</w:t>
      </w:r>
    </w:p>
    <w:bookmarkEnd w:id="99"/>
    <w:bookmarkStart w:name="z11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180. Временный понижающий коэффициент к тарифам на регулируемые услуги аэронавигации утверждается при соответствии одному из следующих критериев:</w:t>
      </w:r>
    </w:p>
    <w:bookmarkEnd w:id="100"/>
    <w:bookmarkStart w:name="z11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рост частоты полетов воздушных судов и привлечение новых маршрутов в воздушном пространстве Республики Казахстан;</w:t>
      </w:r>
    </w:p>
    <w:bookmarkEnd w:id="101"/>
    <w:bookmarkStart w:name="z11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возможность использования незадействованных или слабо задействованных воздушных трасс;</w:t>
      </w:r>
    </w:p>
    <w:bookmarkEnd w:id="102"/>
    <w:bookmarkStart w:name="z11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создание условий для развития республиканского рынка авиаперевозок при обслуживании воздушных судов, выполняющих внутренние регулярные авиарейсы в пределах воздушного пространства Республики Казахстан.";</w:t>
      </w:r>
    </w:p>
    <w:bookmarkEnd w:id="10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"195. В случае возникновения условий, указанных в пункте 194 настоящих Правил, аэропорт и аэронавигационная организация в течение 3 (трех) рабочих дней представляют об этом информацию в ведомство уполномоченного органа.";</w:t>
      </w:r>
    </w:p>
    <w:bookmarkEnd w:id="104"/>
    <w:bookmarkStart w:name="z12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204-1 следующего содержания:</w:t>
      </w:r>
    </w:p>
    <w:bookmarkEnd w:id="105"/>
    <w:bookmarkStart w:name="z12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"204-1. Субъект естественной монополии для целей ведения раздельного учета, в соответствии с подпунктом 9) пункта 2 статьи 26 Закона, согласовывает с ведомством уполномоченного органа разработанную и утвержденную методику ведения раздельного учета доходов, затрат и задействованных активов по каждому виду регулируемых услуг и в целом по деятельности, не относящейся к регулируемым услугам, в соответствии с настоящими Правилами.";</w:t>
      </w:r>
    </w:p>
    <w:bookmarkEnd w:id="10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"223. ГПП "Планирование и управление воздушным движением" включает производственные процессы: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и контроля воздушного движения;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аэронавигационной информации (подготовка сборников аэронавигационной информации (далее – AIP), сообщений для пилотов (далее – NOTAM), циркуляров аэронавигационной информации (далее – AIC) и предоставление бюллетеней предполетной информации);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аварийного оповещения;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консультативного обслуживания воздушного движения;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районного диспетчерского обслуживания;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диспетчерского обслуживания подхода;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аэродромного диспетчерского обслуживания;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эксплуатации радиолокационных систем и систем навигации;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формирования и эксплуатации автоматизированных систем управления воздушным движением;</w:t>
      </w:r>
    </w:p>
    <w:bookmarkEnd w:id="116"/>
    <w:bookmarkStart w:name="z13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обслуживания, содержания, планирования и развития сети телефонной связи, сети радиосвязи, сети авиационной фиксированной электросвязи (далее – AFTN);</w:t>
      </w:r>
    </w:p>
    <w:bookmarkEnd w:id="117"/>
    <w:bookmarkStart w:name="z13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содержания резервных источников электропитания;</w:t>
      </w:r>
    </w:p>
    <w:bookmarkEnd w:id="118"/>
    <w:bookmarkStart w:name="z13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работа с потребителями услуг (оформление и заключение договоров, выставление счетов и взаиморасчеты).</w:t>
      </w:r>
    </w:p>
    <w:bookmarkEnd w:id="119"/>
    <w:bookmarkStart w:name="z13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ГПП "Планирование и управление воздушным движением" оказывает внешние и внутренние услуги.</w:t>
      </w:r>
    </w:p>
    <w:bookmarkEnd w:id="120"/>
    <w:bookmarkStart w:name="z13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оказываются внешним пользователям услуг. Внутренние услуги оказываются ГПП "Прочая деятельность".</w:t>
      </w:r>
    </w:p>
    <w:bookmarkEnd w:id="121"/>
    <w:bookmarkStart w:name="z14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внешним услугам относятся услуги аэронавигации:</w:t>
      </w:r>
    </w:p>
    <w:bookmarkEnd w:id="122"/>
    <w:bookmarkStart w:name="z14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аэронавигационного обслуживания в воздушном пространстве Республики Казахстан;</w:t>
      </w:r>
    </w:p>
    <w:bookmarkEnd w:id="123"/>
    <w:bookmarkStart w:name="z14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аэронавигационного обслуживания в районах аэродромов.</w:t>
      </w:r>
    </w:p>
    <w:bookmarkEnd w:id="124"/>
    <w:bookmarkStart w:name="z14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Внешние услуги подразделяются на регулируемые и нерегулируемые услуги аэронавигации. К нерегулируемым услугам аэронавигации относятся услуги аэронавигационного обслуживания в воздушном пространстве и в районах аэродромов международных и транзитных полетов.</w:t>
      </w:r>
    </w:p>
    <w:bookmarkEnd w:id="125"/>
    <w:bookmarkStart w:name="z14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внутренним услугам относятся услуги, оказываемые с целью дальнейшей их продажи внешним пользователям:</w:t>
      </w:r>
    </w:p>
    <w:bookmarkEnd w:id="126"/>
    <w:bookmarkStart w:name="z14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телефонной, радио- и электросвязи;</w:t>
      </w:r>
    </w:p>
    <w:bookmarkEnd w:id="127"/>
    <w:bookmarkStart w:name="z14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обеспечению электроэнергией, произведенной резервными источниками электропитания;</w:t>
      </w:r>
    </w:p>
    <w:bookmarkEnd w:id="128"/>
    <w:bookmarkStart w:name="z14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предоставлению помещений, оборудования и другого имущества, их содержания и обслуживания с целью дальнейшей их передачи в аренду;</w:t>
      </w:r>
    </w:p>
    <w:bookmarkEnd w:id="129"/>
    <w:bookmarkStart w:name="z14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аэронавигационного обслуживания при работе вне регламента.</w:t>
      </w:r>
    </w:p>
    <w:bookmarkEnd w:id="130"/>
    <w:bookmarkStart w:name="z14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ГПП "Планирование и управление воздушным движением" складываются из доходов за оказание внешних услуг и трансфертных платежей за внутренние услуги, оказанные ГПП "Прочая деятельность". Доходы за оказание внешних услуг определяются в зависимости от объемов соответствующих услуг и цен, по которым вышеназванные услуги были оказаны. Трансфертные платежи за внутренние услуги определяются в зависимости от объема оказанных услуг и трансфертных такс, по которым такие услуги были оказаны.</w:t>
      </w:r>
    </w:p>
    <w:bookmarkEnd w:id="131"/>
    <w:bookmarkStart w:name="z15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ГПП "Планирование и управление воздушным движением" складываются из затрат, связанных с обеспечением выполнения производственных процессов данной ГПП.</w:t>
      </w:r>
    </w:p>
    <w:bookmarkEnd w:id="132"/>
    <w:bookmarkStart w:name="z15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задействованным активам ГПП "Планирование и управление воздушным движением" относятся все активы, распределенные по элементам данного ГПП (машины, оборудование, здания, сооружения, транспортные средства, прочие основные средства, а также нематериальные активы, связанные с соответствующими элементами ГПП).";</w:t>
      </w:r>
    </w:p>
    <w:bookmarkEnd w:id="1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3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"253. В случае изменения тарифа до истечения его срока действия, за исключением оснований, предусмотренных подпунктами 3), 4), 5) и 7) пункта 252 настоящих Правил, изменяется соответствующая статья затрат.</w:t>
      </w:r>
    </w:p>
    <w:bookmarkEnd w:id="134"/>
    <w:bookmarkStart w:name="z154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изменении тарифа до истечения его срока действия в соответствии с подпунктом 6) пункта 252 настоящих Правил в утвержденной тарифной смете исключаются инвестиционные затраты (прибыль, амортизационные отчисления, капитальные затраты, приводящие к росту стоимости основных средств), определенные настоящими Правилами.";</w:t>
      </w:r>
    </w:p>
    <w:bookmarkEnd w:id="1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"255. Для изменения утвержденного ведомством уполномоченного органа тарифа до истечения его срока действия субъект естественной монополии представляет в ведомство уполномоченного органа заявку с приложением обосновывающих материалов.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рассмотрения ведомством уполномоченного органа заявки об изменении тарифа до истечения его срока действия в случаях, предусмотренных: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подпунктами 1), 2) и 7) </w:t>
      </w:r>
      <w:r>
        <w:rPr>
          <w:rFonts w:ascii="Times New Roman"/>
          <w:b w:val="false"/>
          <w:i w:val="false"/>
          <w:color w:val="000000"/>
          <w:sz w:val="28"/>
        </w:rPr>
        <w:t>пункта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не более 10 (десяти) рабочих дней со дня ее представления;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подпунктами 3) и 4) </w:t>
      </w:r>
      <w:r>
        <w:rPr>
          <w:rFonts w:ascii="Times New Roman"/>
          <w:b w:val="false"/>
          <w:i w:val="false"/>
          <w:color w:val="000000"/>
          <w:sz w:val="28"/>
        </w:rPr>
        <w:t>пункта 252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 не более 30 (тридцати) рабочих дней со дня ее представления.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изменения тарифа по инициативе ведомства уполномоченного органа субъект естественной монополии в месячный срок со дня получения соответствующей информации представляет экономически обоснованные расчеты и материалы.";</w:t>
      </w:r>
    </w:p>
    <w:bookmarkEnd w:id="1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162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гражданской авиации Министерства транспорта Республики Казахстан в установленном законодательством порядке обеспечить:</w:t>
      </w:r>
    </w:p>
    <w:bookmarkEnd w:id="141"/>
    <w:bookmarkStart w:name="z163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42"/>
    <w:bookmarkStart w:name="z164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транспорта Республики Казахстан.</w:t>
      </w:r>
    </w:p>
    <w:bookmarkEnd w:id="143"/>
    <w:bookmarkStart w:name="z165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курирующего вице-министра транспорта Республики Казахстан. 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транспорта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Калиакпаров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68" w:id="14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9" w:id="14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октября 2025 года № 335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формирования тарифов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7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Показатели эффективности планируемой инвестиционной программы субъекта естественной</w:t>
      </w:r>
      <w:r>
        <w:br/>
      </w:r>
      <w:r>
        <w:rPr>
          <w:rFonts w:ascii="Times New Roman"/>
          <w:b/>
          <w:i w:val="false"/>
          <w:color w:val="000000"/>
        </w:rPr>
        <w:t>_____________________________________________________________________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наименование субъекта, вид деятельности</w:t>
      </w:r>
    </w:p>
    <w:bookmarkEnd w:id="148"/>
    <w:bookmarkStart w:name="z174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 инвестиционной программы: _________ 20__ - 20__ гг.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768"/>
        <w:gridCol w:w="768"/>
        <w:gridCol w:w="768"/>
        <w:gridCol w:w="768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  <w:gridCol w:w="769"/>
      </w:tblGrid>
      <w:tr>
        <w:trPr>
          <w:trHeight w:val="30" w:hRule="atLeast"/>
        </w:trPr>
        <w:tc>
          <w:tcPr>
            <w:tcW w:w="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нового оборудования (НО)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Характеристики замененного оборудования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экономического эффекта инвестиционной программы на период ее реализации, год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суммы по статьям затрат, тыс. тенге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норм расхода сырья, материалов, топлива и энергии в натур. выражении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(насоса, диаметр трубы и.т.д)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шт, м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за ед.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Краткая характеристика оборудования с указанием места поставки оборудования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оборудования (насоса, диаметр трубы и т.д.)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Количество, шт.,м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Стоимость, тыс. тенге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 реализации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2-ый год реализации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 год реализации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 реализации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2-ый год реализации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 год реализации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на 20____год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Расчет экономического эффекта инвестиционной программы на период ее реализации, год1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Снижение износа основных средств, %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1-ый год реализации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2-ый год реализации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…. год реализации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75" w:id="150"/>
      <w:r>
        <w:rPr>
          <w:rFonts w:ascii="Times New Roman"/>
          <w:b w:val="false"/>
          <w:i w:val="false"/>
          <w:color w:val="000000"/>
          <w:sz w:val="28"/>
        </w:rPr>
        <w:t>
      Руководитель организации ______________________________________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(Ф.И.О. (при его наличии),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Расчет экономического эффекта инвестиционной программы на период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ее реализации дополняется иными показателями с учетом специфики отрасли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