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31da" w14:textId="2263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24 сентября 2025 года № 388. Зарегистрирован в Министерстве юстиции Республики Казахстан 14 октября 2025 года № 37119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под № 10886)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благоустройства территорий городов и населенных пунктов,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3 изложить в следующей редакции:</w:t>
      </w:r>
    </w:p>
    <w:bookmarkStart w:name="z8" w:id="3"/>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фонтаны, вазы для цветов, павильоны, беседки, скамьи, урны, оборудование и конструкции для игр детей и отдыха взрослого населения);";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4 изложить в следующей редакции:</w:t>
      </w:r>
    </w:p>
    <w:bookmarkStart w:name="z10" w:id="4"/>
    <w:p>
      <w:pPr>
        <w:spacing w:after="0"/>
        <w:ind w:left="0"/>
        <w:jc w:val="both"/>
      </w:pPr>
      <w:r>
        <w:rPr>
          <w:rFonts w:ascii="Times New Roman"/>
          <w:b w:val="false"/>
          <w:i w:val="false"/>
          <w:color w:val="000000"/>
          <w:sz w:val="28"/>
        </w:rPr>
        <w:t>
      "6) произведения монументально-декоративного искусства – скульптуры, стелы,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декоративные композиции, обелиски, произведения монументальной живописи;";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7</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"Параграф 7. Содержание садово-парковой мебели, садово-паркового оборудования и малых архитектурных форм";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"67. Объекты садово-парковой мебели, садово-паркового оборудования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и малые архитектурные формы, а также подходы к ним очищают от снега и наледи.";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всеми собственниками квартир, нежилых помещений, при непосредственном совместном управлении либо субъектами управления объектом кондоминиума либо управляющим многоквартирным жилым домом самостоятельно или посредством привлечения специализированных организаций за счет собственных средств.".</w:t>
      </w:r>
    </w:p>
    <w:bookmarkEnd w:id="8"/>
    <w:bookmarkStart w:name="z19" w:id="9"/>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9"/>
    <w:bookmarkStart w:name="z20"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21" w:id="11"/>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промышленности и строительства Республики Казахстан.</w:t>
      </w:r>
    </w:p>
    <w:bookmarkEnd w:id="11"/>
    <w:bookmarkStart w:name="z22"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промышленности и строительства Республики Казахстан.</w:t>
      </w:r>
    </w:p>
    <w:bookmarkEnd w:id="12"/>
    <w:bookmarkStart w:name="z23"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25"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