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66fe" w14:textId="0c46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прогнозных объемов затрат на развитие инженерной коммуникационной инфраструктуры к новым объектам жилищного строительства</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7 сентября 2025 года № 419. Зарегистрирован в Министерстве юстиции Республики Казахстан 8 октября 2025 года № 37085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80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прогнозных объемов затрат на развитие инженерной коммуникационной инфраструктуры к новым объектам жилищного строительства.</w:t>
      </w:r>
    </w:p>
    <w:bookmarkEnd w:id="1"/>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информационно-правовой системе "Әділет";</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промышленности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2025 года № 419</w:t>
            </w:r>
          </w:p>
        </w:tc>
      </w:tr>
    </w:tbl>
    <w:bookmarkStart w:name="z16" w:id="10"/>
    <w:p>
      <w:pPr>
        <w:spacing w:after="0"/>
        <w:ind w:left="0"/>
        <w:jc w:val="left"/>
      </w:pPr>
      <w:r>
        <w:rPr>
          <w:rFonts w:ascii="Times New Roman"/>
          <w:b/>
          <w:i w:val="false"/>
          <w:color w:val="000000"/>
        </w:rPr>
        <w:t xml:space="preserve"> Методика расчета прогнозных объемов затрат на развитие инженерной коммуникационной инфраструктуры к новым объектам жилищного строительства</w:t>
      </w:r>
    </w:p>
    <w:bookmarkEnd w:id="10"/>
    <w:bookmarkStart w:name="z17" w:id="11"/>
    <w:p>
      <w:pPr>
        <w:spacing w:after="0"/>
        <w:ind w:left="0"/>
        <w:jc w:val="left"/>
      </w:pPr>
      <w:r>
        <w:rPr>
          <w:rFonts w:ascii="Times New Roman"/>
          <w:b/>
          <w:i w:val="false"/>
          <w:color w:val="000000"/>
        </w:rPr>
        <w:t xml:space="preserve"> Глава 1. Основные положения</w:t>
      </w:r>
    </w:p>
    <w:bookmarkEnd w:id="11"/>
    <w:bookmarkStart w:name="z18" w:id="12"/>
    <w:p>
      <w:pPr>
        <w:spacing w:after="0"/>
        <w:ind w:left="0"/>
        <w:jc w:val="both"/>
      </w:pPr>
      <w:r>
        <w:rPr>
          <w:rFonts w:ascii="Times New Roman"/>
          <w:b w:val="false"/>
          <w:i w:val="false"/>
          <w:color w:val="000000"/>
          <w:sz w:val="28"/>
        </w:rPr>
        <w:t xml:space="preserve">
      1. Настоящая Методика разработана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80 Бюджетного кодекса Республики Казахстан (далее – Методика) и применяется для определения прогнозных затрат бюджетов областей, городов республиканского значения, столицы на развитие инженерной коммуникационной инфраструктуры к новым объектам жилищного строительства.</w:t>
      </w:r>
    </w:p>
    <w:bookmarkEnd w:id="12"/>
    <w:bookmarkStart w:name="z19" w:id="13"/>
    <w:p>
      <w:pPr>
        <w:spacing w:after="0"/>
        <w:ind w:left="0"/>
        <w:jc w:val="both"/>
      </w:pPr>
      <w:r>
        <w:rPr>
          <w:rFonts w:ascii="Times New Roman"/>
          <w:b w:val="false"/>
          <w:i w:val="false"/>
          <w:color w:val="000000"/>
          <w:sz w:val="28"/>
        </w:rPr>
        <w:t>
      Данная методика также применима при расчете прогнозных затрат районного (города областного значения) бюджета, города районного значения, села, поселка, сельского округа (а также в разрезе населенных пунктов).</w:t>
      </w:r>
    </w:p>
    <w:bookmarkEnd w:id="13"/>
    <w:bookmarkStart w:name="z20" w:id="14"/>
    <w:p>
      <w:pPr>
        <w:spacing w:after="0"/>
        <w:ind w:left="0"/>
        <w:jc w:val="left"/>
      </w:pPr>
      <w:r>
        <w:rPr>
          <w:rFonts w:ascii="Times New Roman"/>
          <w:b/>
          <w:i w:val="false"/>
          <w:color w:val="000000"/>
        </w:rPr>
        <w:t xml:space="preserve"> Глава 2. Расчет прогнозных затрат на развитие инженерной</w:t>
      </w:r>
      <w:r>
        <w:br/>
      </w:r>
      <w:r>
        <w:rPr>
          <w:rFonts w:ascii="Times New Roman"/>
          <w:b/>
          <w:i w:val="false"/>
          <w:color w:val="000000"/>
        </w:rPr>
        <w:t>коммуникационной инфраструктуры к новым объектам жилищного строительства</w:t>
      </w:r>
    </w:p>
    <w:bookmarkEnd w:id="14"/>
    <w:bookmarkStart w:name="z21" w:id="15"/>
    <w:p>
      <w:pPr>
        <w:spacing w:after="0"/>
        <w:ind w:left="0"/>
        <w:jc w:val="both"/>
      </w:pPr>
      <w:r>
        <w:rPr>
          <w:rFonts w:ascii="Times New Roman"/>
          <w:b w:val="false"/>
          <w:i w:val="false"/>
          <w:color w:val="000000"/>
          <w:sz w:val="28"/>
        </w:rPr>
        <w:t>
      1. Расчет прогнозных объемов затрат на развитие инженерной коммуникационной инфраструктуры для областей, районов, города районного значения, села, поселка, сельского округа (города областного значения) к новым объектам жилищного строительства определяются по следующей форме:</w:t>
      </w:r>
    </w:p>
    <w:bookmarkEnd w:id="15"/>
    <w:bookmarkStart w:name="z22"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32512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512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Где:</w:t>
      </w:r>
    </w:p>
    <w:bookmarkEnd w:id="17"/>
    <w:bookmarkStart w:name="z24" w:id="18"/>
    <w:p>
      <w:pPr>
        <w:spacing w:after="0"/>
        <w:ind w:left="0"/>
        <w:jc w:val="both"/>
      </w:pPr>
      <w:r>
        <w:rPr>
          <w:rFonts w:ascii="Times New Roman"/>
          <w:b w:val="false"/>
          <w:i w:val="false"/>
          <w:color w:val="000000"/>
          <w:sz w:val="28"/>
        </w:rPr>
        <w:t>
      1R</w:t>
      </w:r>
      <w:r>
        <w:rPr>
          <w:rFonts w:ascii="Times New Roman"/>
          <w:b w:val="false"/>
          <w:i w:val="false"/>
          <w:color w:val="000000"/>
          <w:vertAlign w:val="subscript"/>
        </w:rPr>
        <w:t>i</w:t>
      </w:r>
      <w:r>
        <w:rPr>
          <w:rFonts w:ascii="Times New Roman"/>
          <w:b w:val="false"/>
          <w:i w:val="false"/>
          <w:color w:val="000000"/>
          <w:sz w:val="28"/>
        </w:rPr>
        <w:t xml:space="preserve"> – общий объем затрат на развитие инженерной коммуникационной инфраструктуры в бюджет области районов, города районного значения, села, поселка, сельского округа (города областного значения): 80 % затрат к новым многоквартирным жилым домам, 20 % затрат к новым индивидуальным жилищным строительствам;</w:t>
      </w:r>
    </w:p>
    <w:bookmarkEnd w:id="18"/>
    <w:bookmarkStart w:name="z25" w:id="19"/>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количество объектов по вводу жилья области (тыс. квадратных метров) </w:t>
      </w:r>
    </w:p>
    <w:bookmarkEnd w:id="19"/>
    <w:bookmarkStart w:name="z26" w:id="20"/>
    <w:p>
      <w:pPr>
        <w:spacing w:after="0"/>
        <w:ind w:left="0"/>
        <w:jc w:val="both"/>
      </w:pPr>
      <w:r>
        <w:rPr>
          <w:rFonts w:ascii="Times New Roman"/>
          <w:b w:val="false"/>
          <w:i w:val="false"/>
          <w:color w:val="000000"/>
          <w:sz w:val="28"/>
        </w:rPr>
        <w:t>
      P</w:t>
      </w:r>
      <w:r>
        <w:rPr>
          <w:rFonts w:ascii="Times New Roman"/>
          <w:b w:val="false"/>
          <w:i w:val="false"/>
          <w:color w:val="000000"/>
          <w:vertAlign w:val="subscript"/>
        </w:rPr>
        <w:t>total</w:t>
      </w:r>
      <w:r>
        <w:rPr>
          <w:rFonts w:ascii="Times New Roman"/>
          <w:b w:val="false"/>
          <w:i w:val="false"/>
          <w:color w:val="000000"/>
          <w:sz w:val="28"/>
        </w:rPr>
        <w:t xml:space="preserve"> – общее количество объектов по вводу жилья по Республике (тыс. квадратных метров);</w:t>
      </w:r>
    </w:p>
    <w:bookmarkEnd w:id="20"/>
    <w:bookmarkStart w:name="z27" w:id="21"/>
    <w:p>
      <w:pPr>
        <w:spacing w:after="0"/>
        <w:ind w:left="0"/>
        <w:jc w:val="both"/>
      </w:pPr>
      <w:r>
        <w:rPr>
          <w:rFonts w:ascii="Times New Roman"/>
          <w:b w:val="false"/>
          <w:i w:val="false"/>
          <w:color w:val="000000"/>
          <w:sz w:val="28"/>
        </w:rPr>
        <w:t>
      F – объем бюджетных средств за последние 3 отчетных финансового года объектов инженерной коммуникационной инфраструктуры.</w:t>
      </w:r>
    </w:p>
    <w:bookmarkEnd w:id="21"/>
    <w:bookmarkStart w:name="z28" w:id="22"/>
    <w:p>
      <w:pPr>
        <w:spacing w:after="0"/>
        <w:ind w:left="0"/>
        <w:jc w:val="both"/>
      </w:pPr>
      <w:r>
        <w:rPr>
          <w:rFonts w:ascii="Times New Roman"/>
          <w:b w:val="false"/>
          <w:i w:val="false"/>
          <w:color w:val="000000"/>
          <w:sz w:val="28"/>
        </w:rPr>
        <w:t>
      2. Расчет прогнозных объемов затрат на развитие инженерной коммуникационной инфраструктуры для городов республиканского значения, столицы (района) к новым объектам жилищного строительства по следующей форме:</w:t>
      </w:r>
    </w:p>
    <w:bookmarkEnd w:id="22"/>
    <w:bookmarkStart w:name="z29"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33147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147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Где:</w:t>
      </w:r>
    </w:p>
    <w:bookmarkEnd w:id="24"/>
    <w:bookmarkStart w:name="z31" w:id="25"/>
    <w:p>
      <w:pPr>
        <w:spacing w:after="0"/>
        <w:ind w:left="0"/>
        <w:jc w:val="both"/>
      </w:pPr>
      <w:r>
        <w:rPr>
          <w:rFonts w:ascii="Times New Roman"/>
          <w:b w:val="false"/>
          <w:i w:val="false"/>
          <w:color w:val="000000"/>
          <w:sz w:val="28"/>
        </w:rPr>
        <w:t>
      2R</w:t>
      </w:r>
      <w:r>
        <w:rPr>
          <w:rFonts w:ascii="Times New Roman"/>
          <w:b w:val="false"/>
          <w:i w:val="false"/>
          <w:color w:val="000000"/>
          <w:vertAlign w:val="subscript"/>
        </w:rPr>
        <w:t>i</w:t>
      </w:r>
      <w:r>
        <w:rPr>
          <w:rFonts w:ascii="Times New Roman"/>
          <w:b w:val="false"/>
          <w:i w:val="false"/>
          <w:color w:val="000000"/>
          <w:sz w:val="28"/>
        </w:rPr>
        <w:t xml:space="preserve"> – прогнозный объем затрат на развитие инженерной коммуникационной инфраструктуры для городов республиканского значения, столицы (района);</w:t>
      </w:r>
    </w:p>
    <w:bookmarkEnd w:id="25"/>
    <w:bookmarkStart w:name="z32" w:id="26"/>
    <w:p>
      <w:pPr>
        <w:spacing w:after="0"/>
        <w:ind w:left="0"/>
        <w:jc w:val="both"/>
      </w:pP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 количество объектов по вводу жилья города республиканского значения столицы (районного значения), (тыс. квадратных метров);</w:t>
      </w:r>
    </w:p>
    <w:bookmarkEnd w:id="26"/>
    <w:bookmarkStart w:name="z33" w:id="27"/>
    <w:p>
      <w:pPr>
        <w:spacing w:after="0"/>
        <w:ind w:left="0"/>
        <w:jc w:val="both"/>
      </w:pPr>
      <w:r>
        <w:rPr>
          <w:rFonts w:ascii="Times New Roman"/>
          <w:b w:val="false"/>
          <w:i w:val="false"/>
          <w:color w:val="000000"/>
          <w:sz w:val="28"/>
        </w:rPr>
        <w:t>
      C</w:t>
      </w:r>
      <w:r>
        <w:rPr>
          <w:rFonts w:ascii="Times New Roman"/>
          <w:b w:val="false"/>
          <w:i w:val="false"/>
          <w:color w:val="000000"/>
          <w:vertAlign w:val="subscript"/>
        </w:rPr>
        <w:t>total</w:t>
      </w:r>
      <w:r>
        <w:rPr>
          <w:rFonts w:ascii="Times New Roman"/>
          <w:b w:val="false"/>
          <w:i w:val="false"/>
          <w:color w:val="000000"/>
          <w:sz w:val="28"/>
        </w:rPr>
        <w:t xml:space="preserve"> – всего количество объектов по вводу жилья городов республиканского значения, столицы (тыс. квадратных метров);</w:t>
      </w:r>
    </w:p>
    <w:bookmarkEnd w:id="27"/>
    <w:bookmarkStart w:name="z34" w:id="28"/>
    <w:p>
      <w:pPr>
        <w:spacing w:after="0"/>
        <w:ind w:left="0"/>
        <w:jc w:val="both"/>
      </w:pPr>
      <w:r>
        <w:rPr>
          <w:rFonts w:ascii="Times New Roman"/>
          <w:b w:val="false"/>
          <w:i w:val="false"/>
          <w:color w:val="000000"/>
          <w:sz w:val="28"/>
        </w:rPr>
        <w:t>
      F – средний объем бюджетных средств за последние 3 отчетных финансового года объектов инженерной коммуникационной инфраструктуры.</w:t>
      </w:r>
    </w:p>
    <w:bookmarkEnd w:id="28"/>
    <w:bookmarkStart w:name="z35" w:id="29"/>
    <w:p>
      <w:pPr>
        <w:spacing w:after="0"/>
        <w:ind w:left="0"/>
        <w:jc w:val="both"/>
      </w:pPr>
      <w:r>
        <w:rPr>
          <w:rFonts w:ascii="Times New Roman"/>
          <w:b w:val="false"/>
          <w:i w:val="false"/>
          <w:color w:val="000000"/>
          <w:sz w:val="28"/>
        </w:rPr>
        <w:t>
      3. Диапазоны минимальных значений для каждой области устанавливается в зависимости от множества факторов, включая специфику города, климатические условия, плотность населения и экономические возможности.</w:t>
      </w:r>
    </w:p>
    <w:bookmarkEnd w:id="29"/>
    <w:bookmarkStart w:name="z36" w:id="30"/>
    <w:p>
      <w:pPr>
        <w:spacing w:after="0"/>
        <w:ind w:left="0"/>
        <w:jc w:val="both"/>
      </w:pPr>
      <w:r>
        <w:rPr>
          <w:rFonts w:ascii="Times New Roman"/>
          <w:b w:val="false"/>
          <w:i w:val="false"/>
          <w:color w:val="000000"/>
          <w:sz w:val="28"/>
        </w:rPr>
        <w:t>
      Минимальные значения обеспечивают базовый уровень жизни и безопасности.</w:t>
      </w:r>
    </w:p>
    <w:bookmarkEnd w:id="30"/>
    <w:bookmarkStart w:name="z37" w:id="31"/>
    <w:p>
      <w:pPr>
        <w:spacing w:after="0"/>
        <w:ind w:left="0"/>
        <w:jc w:val="both"/>
      </w:pPr>
      <w:r>
        <w:rPr>
          <w:rFonts w:ascii="Times New Roman"/>
          <w:b w:val="false"/>
          <w:i w:val="false"/>
          <w:color w:val="000000"/>
          <w:sz w:val="28"/>
        </w:rPr>
        <w:t>
      4. Инженерная коммуникационная инфраструктура подводится к строительным объектам, строительство которых начато в текущем финансовом году, для своевременного ввода в эксплуатацию объектов следующем финансовом году.</w:t>
      </w:r>
    </w:p>
    <w:bookmarkEnd w:id="31"/>
    <w:bookmarkStart w:name="z38" w:id="32"/>
    <w:p>
      <w:pPr>
        <w:spacing w:after="0"/>
        <w:ind w:left="0"/>
        <w:jc w:val="both"/>
      </w:pPr>
      <w:r>
        <w:rPr>
          <w:rFonts w:ascii="Times New Roman"/>
          <w:b w:val="false"/>
          <w:i w:val="false"/>
          <w:color w:val="000000"/>
          <w:sz w:val="28"/>
        </w:rPr>
        <w:t>
      5. План ввода жилья утверждается в виде дорожной карты центральным уполномоченным органом по делам строительства и жилищно-коммунального хозяйства по согласованию с местным уполномоченным органом.</w:t>
      </w:r>
    </w:p>
    <w:bookmarkEnd w:id="32"/>
    <w:bookmarkStart w:name="z39" w:id="33"/>
    <w:p>
      <w:pPr>
        <w:spacing w:after="0"/>
        <w:ind w:left="0"/>
        <w:jc w:val="both"/>
      </w:pPr>
      <w:r>
        <w:rPr>
          <w:rFonts w:ascii="Times New Roman"/>
          <w:b w:val="false"/>
          <w:i w:val="false"/>
          <w:color w:val="000000"/>
          <w:sz w:val="28"/>
        </w:rPr>
        <w:t>
      6. При планировании прогнозных объемов затрат на развитие системы инженерной коммуникационной инфраструктуры для города республиканского значения, столицы, бюджетов районов, города районного значения, села, поселка, сельского округа (города областного значения), города районного значения, села, поселка, сельского округа, местные уполномоченные органы применяют расчеты указанные в пунктах 1, 2.</w:t>
      </w:r>
    </w:p>
    <w:bookmarkEnd w:id="33"/>
    <w:bookmarkStart w:name="z40" w:id="34"/>
    <w:p>
      <w:pPr>
        <w:spacing w:after="0"/>
        <w:ind w:left="0"/>
        <w:jc w:val="both"/>
      </w:pPr>
      <w:r>
        <w:rPr>
          <w:rFonts w:ascii="Times New Roman"/>
          <w:b w:val="false"/>
          <w:i w:val="false"/>
          <w:color w:val="000000"/>
          <w:sz w:val="28"/>
        </w:rPr>
        <w:t>
      7. Местные исполнительные органы согласовывают перечни проектов до утверждения проекта решения маслихата об областном бюджете (области, города, столицы) с соответствующими центральным уполномоченными органами.</w:t>
      </w:r>
    </w:p>
    <w:bookmarkEnd w:id="34"/>
    <w:bookmarkStart w:name="z41" w:id="35"/>
    <w:p>
      <w:pPr>
        <w:spacing w:after="0"/>
        <w:ind w:left="0"/>
        <w:jc w:val="both"/>
      </w:pPr>
      <w:r>
        <w:rPr>
          <w:rFonts w:ascii="Times New Roman"/>
          <w:b w:val="false"/>
          <w:i w:val="false"/>
          <w:color w:val="000000"/>
          <w:sz w:val="28"/>
        </w:rPr>
        <w:t>
      8. Местными исполнительными органами обеспечивается мониторинг реализации проектов в центральный уполномоченный орган по делам строительства и жилищно-коммунального хозяйства ежеквартально до 5 числа следующего за отчетным периодом, при необходимости центральным уполномоченным органом могут быть определены иные сроки по мониторингу.</w:t>
      </w:r>
    </w:p>
    <w:bookmarkEnd w:id="35"/>
    <w:bookmarkStart w:name="z42" w:id="36"/>
    <w:p>
      <w:pPr>
        <w:spacing w:after="0"/>
        <w:ind w:left="0"/>
        <w:jc w:val="both"/>
      </w:pPr>
      <w:r>
        <w:rPr>
          <w:rFonts w:ascii="Times New Roman"/>
          <w:b w:val="false"/>
          <w:i w:val="false"/>
          <w:color w:val="000000"/>
          <w:sz w:val="28"/>
        </w:rPr>
        <w:t>
      9. Местными исполнительными органами обеспечивается гарантированный ввод объектов жилья утвержденных дорожными картами.</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