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ac4d" w14:textId="e9fa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совместный приказ Заместителя Премьер-Министра Республики Казахстан –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"Об утверждении критериев оценки степени риска и проверочных листов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2 октября 2025 года № 265 и Заместителя Премьер-Министра – Министра национальной экономики Республики Казахстан от 3 октября 2025 года № 102. Зарегистрирован в Министерстве юстиции Республики Казахстан 6 октября 2025 года № 37064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"Об утверждении критериев оценки степени риска и проверочных листов в области охраны, воспроизводства и использования животного мира" (зарегистрирован в Реестре государственной регистрации нормативных правовых актах за № 17896) (далее – совместный приказ)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охраны, воспроизводства и использования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охраны, воспроизводства и использования животного мира в отношении субъектов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охраны, воспроизводства и использования животного мира, утвержденных указанным Совместным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и надзора – субъекты (объекты), осуществляющие деятельность в области охраны, воспроизводства и использования животного мира;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а также нарушении не отнесенных к грубым и значительным нарушениям;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в части отсутствия аншлагов, неисполнение договоров по планированию средств, материально-технического оснащения, воспроизводства и науки, наличие неполной и недостоверной информации в сведениях предоставляемых субъектами охотничьего наличия подтвержденных жалоб и обращений;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нормативными правовыми актами в области охраны, воспроизводства и использования животного мира,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- КоАП), несоблюдение порядка создания зоологических коллекций, несоблюдение установленных сроков ограничений и запретов на пользование животным миром, возникновение неблагоприятных происшествий, наличие браконьерства, неисполнение актов государственных инспекторов осуществляющие государственный контроль и надзора в области охраны, воспроизводства и использования животного мира;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(объекта) контроля и надзора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степени риска – комплекс мероприятий, проводимых органом контроля и надзора, с целью назначения и проведения профилактического контроля и надзора с посещением субъекта (объекта) контроля;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охраны, воспроизводства и использования животного мира;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окружающей среде, законным интересам физических и юридических лиц, государства;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объективным критериям субъекты (объекты) контроля и надзора разделены на три группы риска: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субъекты (объекты) контроля и надзора, занимающиеся ведением охотничьего хозяйства;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субъекты (объекты) контроля и надзора, занимающиеся организацией любительской (спортивной) охоты;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субъекты (объекты) контроля и надзора, занимающиеся вольерным и полувольным содержанием, разведением объектов животного мира, а также организации, занимающиеся обучением граждан охотничьему минимуму, владельцы зоологических коллекций, зоопарки, биологические центры.";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Степень нарушений требований в области охраны, воспроизводства и использования животного мира в отношении субъектов охотничьего хозяйства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субъектов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оперативного реагирования в области охраны, воспроизводства и использования животного мира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мерам оперативного реагирования, применяемым в рамках настоящих Критериев, относятся в рамках профилактического контроля с посещением субъекта (объекта) контроля и надзора и (или) проверки – приостановление деятельности субъекта контроля и надзора или отдельных ее видов.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применения мер оперативного реагирования в виде приостановления деятельности субъекта контроля и надзора или отдельных ее видов в рамках профилактического контроля с посещением субъекта (объекта) контроля и надзора и (или) проверки являются нарушения требований, по недопущению добычи объектов животного мира в зонах покоя и воспроизводственных участках, срок приостановления – 60 (шестьдесят) рабочих дней.";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исключить.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экологии и природных ресурсов Республики Казахстан.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в области охраны, воспроизводства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в соответствии подпунктом 22) статьи 138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 в отношении деятельности субъектов охотничьего хозяйства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некачественное предоставление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фактов привлечения к административной ответственности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 2) КоАП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сведении о неисполнении в установленный срок рекомендаций об устранении нарушений, выявленных по результатам контроля без посещения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 полугодовой список проведения профилактического контроля и надзора с посещением субъекта (объекта)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