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ef47" w14:textId="701e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w:t>
      </w:r>
    </w:p>
    <w:p>
      <w:pPr>
        <w:spacing w:after="0"/>
        <w:ind w:left="0"/>
        <w:jc w:val="both"/>
      </w:pPr>
      <w:r>
        <w:rPr>
          <w:rFonts w:ascii="Times New Roman"/>
          <w:b w:val="false"/>
          <w:i w:val="false"/>
          <w:color w:val="000000"/>
          <w:sz w:val="28"/>
        </w:rPr>
        <w:t>Приказ и.о. Министра транспорта Республики Казахстан от 1 октября 2025 года № 319. Зарегистрирован в Министерстве юстиции Республики Казахстан 2 октября 2025 года № 37036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 12303)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годности к эксплуатации аэродромов (вертодромов)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"67. Для ВПП, оборудованной для неточного захода на посадку, устанавливаются следующие поверхности ограничения препятствий:</w:t>
      </w:r>
    </w:p>
    <w:bookmarkEnd w:id="3"/>
    <w:bookmarkStart w:name="z9" w:id="4"/>
    <w:p>
      <w:pPr>
        <w:spacing w:after="0"/>
        <w:ind w:left="0"/>
        <w:jc w:val="both"/>
      </w:pPr>
      <w:r>
        <w:rPr>
          <w:rFonts w:ascii="Times New Roman"/>
          <w:b w:val="false"/>
          <w:i w:val="false"/>
          <w:color w:val="000000"/>
          <w:sz w:val="28"/>
        </w:rPr>
        <w:t>
      1) коническая поверхность;</w:t>
      </w:r>
    </w:p>
    <w:bookmarkEnd w:id="4"/>
    <w:bookmarkStart w:name="z10" w:id="5"/>
    <w:p>
      <w:pPr>
        <w:spacing w:after="0"/>
        <w:ind w:left="0"/>
        <w:jc w:val="both"/>
      </w:pPr>
      <w:r>
        <w:rPr>
          <w:rFonts w:ascii="Times New Roman"/>
          <w:b w:val="false"/>
          <w:i w:val="false"/>
          <w:color w:val="000000"/>
          <w:sz w:val="28"/>
        </w:rPr>
        <w:t>
      2) внутренняя горизонтальная поверхность;</w:t>
      </w:r>
    </w:p>
    <w:bookmarkEnd w:id="5"/>
    <w:bookmarkStart w:name="z11" w:id="6"/>
    <w:p>
      <w:pPr>
        <w:spacing w:after="0"/>
        <w:ind w:left="0"/>
        <w:jc w:val="both"/>
      </w:pPr>
      <w:r>
        <w:rPr>
          <w:rFonts w:ascii="Times New Roman"/>
          <w:b w:val="false"/>
          <w:i w:val="false"/>
          <w:color w:val="000000"/>
          <w:sz w:val="28"/>
        </w:rPr>
        <w:t>
      3) поверхность захода на посадку;</w:t>
      </w:r>
    </w:p>
    <w:bookmarkEnd w:id="6"/>
    <w:bookmarkStart w:name="z12" w:id="7"/>
    <w:p>
      <w:pPr>
        <w:spacing w:after="0"/>
        <w:ind w:left="0"/>
        <w:jc w:val="both"/>
      </w:pPr>
      <w:r>
        <w:rPr>
          <w:rFonts w:ascii="Times New Roman"/>
          <w:b w:val="false"/>
          <w:i w:val="false"/>
          <w:color w:val="000000"/>
          <w:sz w:val="28"/>
        </w:rPr>
        <w:t>
      4) переходные поверхности.</w:t>
      </w:r>
    </w:p>
    <w:bookmarkEnd w:id="7"/>
    <w:bookmarkStart w:name="z13" w:id="8"/>
    <w:p>
      <w:pPr>
        <w:spacing w:after="0"/>
        <w:ind w:left="0"/>
        <w:jc w:val="both"/>
      </w:pPr>
      <w:r>
        <w:rPr>
          <w:rFonts w:ascii="Times New Roman"/>
          <w:b w:val="false"/>
          <w:i w:val="false"/>
          <w:color w:val="000000"/>
          <w:sz w:val="28"/>
        </w:rPr>
        <w:t xml:space="preserve">
      Описание и параметры поверхностей ограничения препятствий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НГЭА ГА РК.";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"135. Сооружения высотой более 100 м. и сооружения каркасно-решетчатого типа (независимо от их высоты) маркируются от верха до основания чередующимися по цвету полосами, ширина которых должна соответствовать приведенным в таблице </w:t>
      </w:r>
      <w:r>
        <w:rPr>
          <w:rFonts w:ascii="Times New Roman"/>
          <w:b w:val="false"/>
          <w:i w:val="false"/>
          <w:color w:val="000000"/>
          <w:sz w:val="28"/>
        </w:rPr>
        <w:t>приложения 24</w:t>
      </w:r>
      <w:r>
        <w:rPr>
          <w:rFonts w:ascii="Times New Roman"/>
          <w:b w:val="false"/>
          <w:i w:val="false"/>
          <w:color w:val="000000"/>
          <w:sz w:val="28"/>
        </w:rPr>
        <w:t xml:space="preserve"> к настоящему НГЭА ГА РК, но не более 30 м. Полосы должны наноситься перпендикулярно большему измерению, крайние полосы окрашиваются в темный цвет. Ширина полос должна быть одинаковой и может отличаться не более чем на 20 % от указанной в таблице </w:t>
      </w:r>
      <w:r>
        <w:rPr>
          <w:rFonts w:ascii="Times New Roman"/>
          <w:b w:val="false"/>
          <w:i w:val="false"/>
          <w:color w:val="000000"/>
          <w:sz w:val="28"/>
        </w:rPr>
        <w:t>приложения 24</w:t>
      </w:r>
      <w:r>
        <w:rPr>
          <w:rFonts w:ascii="Times New Roman"/>
          <w:b w:val="false"/>
          <w:i w:val="false"/>
          <w:color w:val="000000"/>
          <w:sz w:val="28"/>
        </w:rPr>
        <w:t xml:space="preserve"> к настоящим НГЭА ГА РК.</w:t>
      </w:r>
    </w:p>
    <w:bookmarkEnd w:id="9"/>
    <w:bookmarkStart w:name="z16" w:id="10"/>
    <w:p>
      <w:pPr>
        <w:spacing w:after="0"/>
        <w:ind w:left="0"/>
        <w:jc w:val="both"/>
      </w:pPr>
      <w:r>
        <w:rPr>
          <w:rFonts w:ascii="Times New Roman"/>
          <w:b w:val="false"/>
          <w:i w:val="false"/>
          <w:color w:val="000000"/>
          <w:sz w:val="28"/>
        </w:rPr>
        <w:t>
      Ветроэнергетическая установка (далее-ВЭУ) маркируется, если установлено, что она представляет собой препятствие. Лопасти ротора, гондола и верхние 2/3 части опорной мачты ветряных турбин окрашиваются в белый цвет, если аэронавигационное исследование не указывает на иное.";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286</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"286 В качестве заградительных огней должны применяться огни малой, средней или высокой интенсивности, либо их сочетание. Неподвижные объекты должны ограждаться заградительными световыми огнями малой интенсивности типа А или В. Объекты большой протяженности или с высотой над уровнем земли более 45 м. могут быть ограждены заградительными огнями средней интенсивности типа А, В или С, причем заградительные огни средней интенсивности типов А и С используются отдельно, а заградительные огни средней интенсивности типа В - либо отдельно, либо в сочетании с заградительными огнями малой интенсивности типа В.</w:t>
      </w:r>
    </w:p>
    <w:bookmarkEnd w:id="11"/>
    <w:bookmarkStart w:name="z19" w:id="12"/>
    <w:p>
      <w:pPr>
        <w:spacing w:after="0"/>
        <w:ind w:left="0"/>
        <w:jc w:val="both"/>
      </w:pPr>
      <w:r>
        <w:rPr>
          <w:rFonts w:ascii="Times New Roman"/>
          <w:b w:val="false"/>
          <w:i w:val="false"/>
          <w:color w:val="000000"/>
          <w:sz w:val="28"/>
        </w:rPr>
        <w:t>
      Группа деревьев (зданий) рассматривается как объект большой протяженности.";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"287. Объекты высотой над уровнем земли более 150 м. должны светоограждаться огнями высокой интенсивности типа А, если результаты авиационного исследования свидетельствуют о том, что такие огни необходимы для опознавания объекта в дневное время. Располагаемые на объекте огни должны давать одновременные проблески.</w:t>
      </w:r>
    </w:p>
    <w:bookmarkEnd w:id="13"/>
    <w:bookmarkStart w:name="z22" w:id="14"/>
    <w:p>
      <w:pPr>
        <w:spacing w:after="0"/>
        <w:ind w:left="0"/>
        <w:jc w:val="both"/>
      </w:pPr>
      <w:r>
        <w:rPr>
          <w:rFonts w:ascii="Times New Roman"/>
          <w:b w:val="false"/>
          <w:i w:val="false"/>
          <w:color w:val="000000"/>
          <w:sz w:val="28"/>
        </w:rPr>
        <w:t>
      Ветроэнергетическая установка светоограждаетcя, если установлено, что она представляет собой препятствие. Светоограждение на гондоле ВЭУ устанавливаются таким образом, чтобы обеспечивался беспрепятственный обзор для воздушного судна, приближающегося с любого направления.";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"299. Когда объект обозначается заградительными огнями средней интенсивности типа В, а высшая точка объекта находится на высоте более 45 м. над уровнем окружающей местности или над наивысшими точками зданий, окружающих маркируемый объект, предусматриваются дополнительные огни на промежуточных уровнях. Эти дополнительные промежуточные огни, являющиеся заградительными огнями низкой интенсивности типа В и заградительными огнями средней интенсивности типа В, по мере возможности попеременно располагаются на равном расстоянии друг от друга между верхними огнями и уровнем земли или уровнем высших точек близко расположенных зданий, при необходимости, с интервалом, не превышающим 52 м.</w:t>
      </w:r>
    </w:p>
    <w:bookmarkEnd w:id="15"/>
    <w:bookmarkStart w:name="z25" w:id="16"/>
    <w:p>
      <w:pPr>
        <w:spacing w:after="0"/>
        <w:ind w:left="0"/>
        <w:jc w:val="both"/>
      </w:pPr>
      <w:r>
        <w:rPr>
          <w:rFonts w:ascii="Times New Roman"/>
          <w:b w:val="false"/>
          <w:i w:val="false"/>
          <w:color w:val="000000"/>
          <w:sz w:val="28"/>
        </w:rPr>
        <w:t>
      На ВЭУ общей высотой менее 150 м. (высота оси ветровой турбины плюс высота вертикально стоящей лопасти) светоограждение обеспечивается из огней средней интенсивности типа В устанавливаемые на гондоле ВЭУ.</w:t>
      </w:r>
    </w:p>
    <w:bookmarkEnd w:id="16"/>
    <w:bookmarkStart w:name="z26" w:id="17"/>
    <w:p>
      <w:pPr>
        <w:spacing w:after="0"/>
        <w:ind w:left="0"/>
        <w:jc w:val="both"/>
      </w:pPr>
      <w:r>
        <w:rPr>
          <w:rFonts w:ascii="Times New Roman"/>
          <w:b w:val="false"/>
          <w:i w:val="false"/>
          <w:color w:val="000000"/>
          <w:sz w:val="28"/>
        </w:rPr>
        <w:t>
      На ВЭУ общей высотой от 150 м. до 315 м:</w:t>
      </w:r>
    </w:p>
    <w:bookmarkEnd w:id="17"/>
    <w:bookmarkStart w:name="z27" w:id="18"/>
    <w:p>
      <w:pPr>
        <w:spacing w:after="0"/>
        <w:ind w:left="0"/>
        <w:jc w:val="both"/>
      </w:pPr>
      <w:r>
        <w:rPr>
          <w:rFonts w:ascii="Times New Roman"/>
          <w:b w:val="false"/>
          <w:i w:val="false"/>
          <w:color w:val="000000"/>
          <w:sz w:val="28"/>
        </w:rPr>
        <w:t>
      1) дополнительно к огням средней интенсивности типа В, на гондоле ВЭУ устанавливается второй комплект огней для обеспечения резервирования заградительных огней на случай отказа действующих. Второй комплект огней устанавливаться таким образом, чтобы не допускать взаимного загораживания их световых потоков;</w:t>
      </w:r>
    </w:p>
    <w:bookmarkEnd w:id="18"/>
    <w:bookmarkStart w:name="z28" w:id="19"/>
    <w:p>
      <w:pPr>
        <w:spacing w:after="0"/>
        <w:ind w:left="0"/>
        <w:jc w:val="both"/>
      </w:pPr>
      <w:r>
        <w:rPr>
          <w:rFonts w:ascii="Times New Roman"/>
          <w:b w:val="false"/>
          <w:i w:val="false"/>
          <w:color w:val="000000"/>
          <w:sz w:val="28"/>
        </w:rPr>
        <w:t>
      2) на промежуточном уровне, соответствующей половине высоты гондолы ВЭУ, устанавливается три огня низкой интенсивности типа 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"301. Когда объект обозначен заградительными огнями средней интенсивности типа С, а высшая точка объекта находится на высоте более 45 м над уровнем окружающей местности или над наивысшими точками зданий, окружающих маркируемый объект, предусматриваются дополнительные огни на промежуточных уровнях. Эти дополнительные огни по мере возможности располагаются на равном расстоянии между верхними огнями и уровнем земли или уровнем высших точек близко расположенных зданий, при необходимости с интервалом, не превышающим 52 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1</w:t>
      </w:r>
      <w:r>
        <w:rPr>
          <w:rFonts w:ascii="Times New Roman"/>
          <w:b w:val="false"/>
          <w:i w:val="false"/>
          <w:color w:val="000000"/>
          <w:sz w:val="28"/>
        </w:rPr>
        <w:t xml:space="preserve"> приложения 7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приложения 7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3" w:id="21"/>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1"/>
    <w:bookmarkStart w:name="z34"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5"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23"/>
    <w:bookmarkStart w:name="z36"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24"/>
    <w:bookmarkStart w:name="z37"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p>
      <w:pPr>
        <w:spacing w:after="0"/>
        <w:ind w:left="0"/>
        <w:jc w:val="both"/>
      </w:pPr>
      <w:bookmarkStart w:name="z39"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8"/>
      <w:r>
        <w:rPr>
          <w:rFonts w:ascii="Times New Roman"/>
          <w:b w:val="false"/>
          <w:i w:val="false"/>
          <w:color w:val="000000"/>
          <w:sz w:val="28"/>
        </w:rPr>
        <w:t>
      "СОГЛАСОВАНО"</w:t>
      </w:r>
    </w:p>
    <w:bookmarkEnd w:id="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2025 года № 319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Нормам годности</w:t>
            </w:r>
            <w:r>
              <w:br/>
            </w:r>
            <w:r>
              <w:rPr>
                <w:rFonts w:ascii="Times New Roman"/>
                <w:b w:val="false"/>
                <w:i w:val="false"/>
                <w:color w:val="000000"/>
                <w:sz w:val="20"/>
              </w:rPr>
              <w:t>к эксплуатации аэродромов</w:t>
            </w:r>
            <w:r>
              <w:br/>
            </w:r>
            <w:r>
              <w:rPr>
                <w:rFonts w:ascii="Times New Roman"/>
                <w:b w:val="false"/>
                <w:i w:val="false"/>
                <w:color w:val="000000"/>
                <w:sz w:val="20"/>
              </w:rPr>
              <w:t>(вертодромов)</w:t>
            </w:r>
            <w:r>
              <w:br/>
            </w:r>
            <w:r>
              <w:rPr>
                <w:rFonts w:ascii="Times New Roman"/>
                <w:b w:val="false"/>
                <w:i w:val="false"/>
                <w:color w:val="000000"/>
                <w:sz w:val="20"/>
              </w:rPr>
              <w:t>гражданской авиации</w:t>
            </w:r>
          </w:p>
        </w:tc>
      </w:tr>
    </w:tbl>
    <w:bookmarkStart w:name="z45" w:id="30"/>
    <w:p>
      <w:pPr>
        <w:spacing w:after="0"/>
        <w:ind w:left="0"/>
        <w:jc w:val="left"/>
      </w:pPr>
      <w:r>
        <w:rPr>
          <w:rFonts w:ascii="Times New Roman"/>
          <w:b/>
          <w:i w:val="false"/>
          <w:color w:val="000000"/>
        </w:rPr>
        <w:t xml:space="preserve"> Размеры, уклоны и относительные высоты поверхностей ограничения препятствий. ВПП для захода на посадку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и размеры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Необорудованная ВПП,</w:t>
            </w:r>
          </w:p>
          <w:p>
            <w:pPr>
              <w:spacing w:after="20"/>
              <w:ind w:left="20"/>
              <w:jc w:val="both"/>
            </w:pPr>
            <w:r>
              <w:rPr>
                <w:rFonts w:ascii="Times New Roman"/>
                <w:b w:val="false"/>
                <w:i w:val="false"/>
                <w:color w:val="000000"/>
                <w:sz w:val="20"/>
              </w:rPr>
              <w:t>кодовый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для неточного захода на посадку,</w:t>
            </w:r>
          </w:p>
          <w:p>
            <w:pPr>
              <w:spacing w:after="20"/>
              <w:ind w:left="20"/>
              <w:jc w:val="both"/>
            </w:pPr>
            <w:r>
              <w:rPr>
                <w:rFonts w:ascii="Times New Roman"/>
                <w:b w:val="false"/>
                <w:i w:val="false"/>
                <w:color w:val="000000"/>
                <w:sz w:val="20"/>
              </w:rPr>
              <w:t>кодовый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для точного захода на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p>
            <w:pPr>
              <w:spacing w:after="20"/>
              <w:ind w:left="20"/>
              <w:jc w:val="both"/>
            </w:pPr>
            <w:r>
              <w:rPr>
                <w:rFonts w:ascii="Times New Roman"/>
                <w:b w:val="false"/>
                <w:i w:val="false"/>
                <w:color w:val="000000"/>
                <w:sz w:val="20"/>
              </w:rPr>
              <w:t>кодовый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 или III, кодовый номер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КОНИЧЕСКАЯ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ГОРИЗОНТАЛЬНАЯ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Радиус,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ЗАХОДА НА ПОСАДКУ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порога,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ЗАХОДА НА ПОСАДКУ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внутренней границы,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порога,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(в каждую сторону),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сектор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длина,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ПЕРЕХОДНАЯ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ПРЕРВАННОЙ ПОСАДКИ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внутренней границы,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порога,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(в каждую сторону),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47" w:id="31"/>
    <w:p>
      <w:pPr>
        <w:spacing w:after="0"/>
        <w:ind w:left="0"/>
        <w:jc w:val="both"/>
      </w:pPr>
      <w:r>
        <w:rPr>
          <w:rFonts w:ascii="Times New Roman"/>
          <w:b w:val="false"/>
          <w:i w:val="false"/>
          <w:color w:val="000000"/>
          <w:sz w:val="28"/>
        </w:rPr>
        <w:t>
      (1) Все измерения даны в горизонтальной плоскости, если только специально не оговорено иное.</w:t>
      </w:r>
    </w:p>
    <w:bookmarkEnd w:id="31"/>
    <w:bookmarkStart w:name="z48" w:id="32"/>
    <w:p>
      <w:pPr>
        <w:spacing w:after="0"/>
        <w:ind w:left="0"/>
        <w:jc w:val="both"/>
      </w:pPr>
      <w:r>
        <w:rPr>
          <w:rFonts w:ascii="Times New Roman"/>
          <w:b w:val="false"/>
          <w:i w:val="false"/>
          <w:color w:val="000000"/>
          <w:sz w:val="28"/>
        </w:rPr>
        <w:t>
      (2) Изменяемая длина, поверхность захода на посадку расположена горизонтально за точкой, в которой линия наклона с градиентом 2,5 пересекает горизонтальную плоскость на высоте 150 м. над превышением порога или горизонтальную плоскость, проходящую через верхнюю точку любого объекта, определяющую абсолютную/относительную высоту (ОСА/Н) пролета препятствий, в зависимости от того, что выше</w:t>
      </w:r>
    </w:p>
    <w:bookmarkEnd w:id="32"/>
    <w:bookmarkStart w:name="z49" w:id="33"/>
    <w:p>
      <w:pPr>
        <w:spacing w:after="0"/>
        <w:ind w:left="0"/>
        <w:jc w:val="both"/>
      </w:pPr>
      <w:r>
        <w:rPr>
          <w:rFonts w:ascii="Times New Roman"/>
          <w:b w:val="false"/>
          <w:i w:val="false"/>
          <w:color w:val="000000"/>
          <w:sz w:val="28"/>
        </w:rPr>
        <w:t>
      (3) Расстояние до конца ВПП, в зависимости от того, какое расстояние меньше.</w:t>
      </w:r>
    </w:p>
    <w:bookmarkEnd w:id="33"/>
    <w:bookmarkStart w:name="z50" w:id="34"/>
    <w:p>
      <w:pPr>
        <w:spacing w:after="0"/>
        <w:ind w:left="0"/>
        <w:jc w:val="both"/>
      </w:pPr>
      <w:r>
        <w:rPr>
          <w:rFonts w:ascii="Times New Roman"/>
          <w:b w:val="false"/>
          <w:i w:val="false"/>
          <w:color w:val="000000"/>
          <w:sz w:val="28"/>
        </w:rPr>
        <w:t>
      (4) В случае кодовой буквы F ширина увеличивается до 140 м, за исключением аэродромов, принимающих самолеты, соответствующие кодовой букве F и имеющие цифровое бортовое оборудование, которое предоставляет команды наведения для выдерживания установившейся линии пути в процессе выполнения ухода на второй круг.</w:t>
      </w:r>
    </w:p>
    <w:bookmarkEnd w:id="34"/>
    <w:bookmarkStart w:name="z51" w:id="35"/>
    <w:p>
      <w:pPr>
        <w:spacing w:after="0"/>
        <w:ind w:left="0"/>
        <w:jc w:val="both"/>
      </w:pPr>
      <w:r>
        <w:rPr>
          <w:rFonts w:ascii="Times New Roman"/>
          <w:b w:val="false"/>
          <w:i w:val="false"/>
          <w:color w:val="000000"/>
          <w:sz w:val="28"/>
        </w:rPr>
        <w:t>
      * расстояние до конца полосы.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2025 года № 319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Нормам годности</w:t>
            </w:r>
            <w:r>
              <w:br/>
            </w:r>
            <w:r>
              <w:rPr>
                <w:rFonts w:ascii="Times New Roman"/>
                <w:b w:val="false"/>
                <w:i w:val="false"/>
                <w:color w:val="000000"/>
                <w:sz w:val="20"/>
              </w:rPr>
              <w:t>к эксплуатации аэродромов</w:t>
            </w:r>
            <w:r>
              <w:br/>
            </w:r>
            <w:r>
              <w:rPr>
                <w:rFonts w:ascii="Times New Roman"/>
                <w:b w:val="false"/>
                <w:i w:val="false"/>
                <w:color w:val="000000"/>
                <w:sz w:val="20"/>
              </w:rPr>
              <w:t>(вертодромов)</w:t>
            </w:r>
            <w:r>
              <w:br/>
            </w:r>
            <w:r>
              <w:rPr>
                <w:rFonts w:ascii="Times New Roman"/>
                <w:b w:val="false"/>
                <w:i w:val="false"/>
                <w:color w:val="000000"/>
                <w:sz w:val="20"/>
              </w:rPr>
              <w:t>гражданской авиации</w:t>
            </w:r>
          </w:p>
        </w:tc>
      </w:tr>
    </w:tbl>
    <w:bookmarkStart w:name="z54" w:id="36"/>
    <w:p>
      <w:pPr>
        <w:spacing w:after="0"/>
        <w:ind w:left="0"/>
        <w:jc w:val="left"/>
      </w:pPr>
      <w:r>
        <w:rPr>
          <w:rFonts w:ascii="Times New Roman"/>
          <w:b/>
          <w:i w:val="false"/>
          <w:color w:val="000000"/>
        </w:rPr>
        <w:t xml:space="preserve"> Размеры и наклоны поверхности ограничений препятствий. ВПП, предназначенная для взлета</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и размеры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 ПРИ ВЗЛЕТЕ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внутренней границы,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конца взлетной полосы (2),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(в каждую сторону),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ширина,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p>
            <w:pPr>
              <w:spacing w:after="20"/>
              <w:ind w:left="20"/>
              <w:jc w:val="both"/>
            </w:pPr>
            <w:r>
              <w:rPr>
                <w:rFonts w:ascii="Times New Roman"/>
                <w:b w:val="false"/>
                <w:i w:val="false"/>
                <w:color w:val="000000"/>
                <w:sz w:val="20"/>
              </w:rPr>
              <w:t>1 800(3)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56" w:id="37"/>
    <w:p>
      <w:pPr>
        <w:spacing w:after="0"/>
        <w:ind w:left="0"/>
        <w:jc w:val="both"/>
      </w:pPr>
      <w:r>
        <w:rPr>
          <w:rFonts w:ascii="Times New Roman"/>
          <w:b w:val="false"/>
          <w:i w:val="false"/>
          <w:color w:val="000000"/>
          <w:sz w:val="28"/>
        </w:rPr>
        <w:t>
      (1) Все размеры даны в горизонтальной плоскости, если специально не оговорено иное.</w:t>
      </w:r>
    </w:p>
    <w:bookmarkEnd w:id="37"/>
    <w:bookmarkStart w:name="z57" w:id="38"/>
    <w:p>
      <w:pPr>
        <w:spacing w:after="0"/>
        <w:ind w:left="0"/>
        <w:jc w:val="both"/>
      </w:pPr>
      <w:r>
        <w:rPr>
          <w:rFonts w:ascii="Times New Roman"/>
          <w:b w:val="false"/>
          <w:i w:val="false"/>
          <w:color w:val="000000"/>
          <w:sz w:val="28"/>
        </w:rPr>
        <w:t>
      (2) Поверхность набора высоты при взлете начинается в конце полосы, свободной от препятствий, если ее длина превышает указанное расстояние.</w:t>
      </w:r>
    </w:p>
    <w:bookmarkEnd w:id="38"/>
    <w:bookmarkStart w:name="z58" w:id="39"/>
    <w:p>
      <w:pPr>
        <w:spacing w:after="0"/>
        <w:ind w:left="0"/>
        <w:jc w:val="both"/>
      </w:pPr>
      <w:r>
        <w:rPr>
          <w:rFonts w:ascii="Times New Roman"/>
          <w:b w:val="false"/>
          <w:i w:val="false"/>
          <w:color w:val="000000"/>
          <w:sz w:val="28"/>
        </w:rPr>
        <w:t>
      (3) 1800 м, когда линия заданного пути включает изменение курса более чем на 15º для полетов, осуществляемых по приборным и визуальным метеорологическим условиям в ночное время.</w:t>
      </w:r>
    </w:p>
    <w:bookmarkEnd w:id="39"/>
    <w:bookmarkStart w:name="z59" w:id="40"/>
    <w:p>
      <w:pPr>
        <w:spacing w:after="0"/>
        <w:ind w:left="0"/>
        <w:jc w:val="both"/>
      </w:pPr>
      <w:r>
        <w:rPr>
          <w:rFonts w:ascii="Times New Roman"/>
          <w:b w:val="false"/>
          <w:i w:val="false"/>
          <w:color w:val="000000"/>
          <w:sz w:val="28"/>
        </w:rPr>
        <w:t>
      (4) Следует изучить эксплуатационные характеристики самолетов, для обслуживания которых предназначена данная ВПП, чтобы выяснить, насколько целесообразным является уменьшение указанного в таблице 2 наклона при необходимости выполнять полеты в критических условиях. Если указанный наклон уменьшается, следует произвести соответствующую корректировку длины поверхности набора высоты при взлете таким образом, чтобы обеспечить безопасность до относительной высоты 300 м. Если местные атмосферные условия значительно отличаются от стандартных атмосферных условий на уровне моря, может оказаться целесообразным уменьшить наклон, указанный в таблице 2. Степень уменьшения наклона зависит от величины отклонения местных атмосферных условий от стандартных атмосферных условий на уровне моря, а также от эксплуатационных характеристик самолетов, для обслуживания которых предназначена данная ВПП, и от эксплуатационных требований, предъявляемых этими самолетами. Если ни один из объектов не достигает поверхности набора высоты при взлете с градиентом наклона 2 (1:50), новые объекты следует ограничивать таким образом, чтобы сохранить существующую поверхность, свободную от препятствий, или поверхность, простирающуюся до начала уклона в 1,6 (1:62,5).</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