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213" w14:textId="3352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налогооблагаемого дохода по банковской деятельности, осуществляемой банками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18 сентября 2025 года № 508 и постановление Правления Национального Банка Республики Казахстан от 26 сентября 2025 года № 55. Зарегистрировано в Министерстве юстиции Республики Казахстан 1 октября 2025 года № 37016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Настоящие совместные постановление и приказ вводятся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357 Налогового кодекса Республики Казахстан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налогооблагаемого дохода по банковской деятельности, осуществляемой банками второго уровня,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постановления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интернет-ресурсах Национального Банка Республики Казахстан и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в Министерстве юстиции Республики Казахстан представление в Департмент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постановления и приказа возложить на Первого заместителя Председателя Национального Банка Республики Казахстан и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и приказ вводятся в действие с 1 января 2026 года и подлежат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финансовРеспублики Казахстан__________М.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508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налогооблагаемого дохода по банковской деятельности, осуществляемой банками второго уровня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налогооблагаемого дохода по банковской деятельности, осуществляемой банками второго уровня (далее – Правила),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357 Налогового кодекса Республики Казахстан (далее – Налоговый кодекс) и определяют порядок определения налогооблагаемого дохода по банковской деятельности, осуществляемой банками второго уровня.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прочая деятельность, осуществляемая банками второго уровня – деятельность банка второго уровня, не относящаяся к деятельности по кредитованию субъектов предпринимательства;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деятельность по кредитованию субъектов предпринимательства – деятельность банков второго уровня, связанная с предоставлением индивидуальным предпринимателям и юридическим лицам кредитов (займов), лизинговых и иных финансовых инструментов,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целях получения индивидуальным предпринимателем и юридическим лицом чистого дохода путем использования индивидуальным предпринимателем и юридическим лицом имущества, производства, продажи товаров, выполнения работ, оказания услуг, основанная на праве частной собственности (частное предпринимательство) либо на праве хозяйственного ведения или оперативного управления государственного предприятия (государственное предпринимательство) в рамках самостоятельной, инициативной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и иные понятия применимые в соответствии с Налоговым кодексом.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Налогооблагаемый доход по банковской деятельности, осуществляемой банками второго уровня, состоит из налогооблагаемого дохода от деятельности по кредитованию субъектов предпринимательства и налогооблагаемого дохода от прочей деятельности, осуществляемой банками второго уровня.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расходов банка второго уровня, за исключением расходов,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подлежащая отнесению на вычеты, определяется по выбору банка второго уровня по пропорциональному методу путем применения удельного веса или путем классификации расходов на прямые и общие.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расходов на прямые и общие осуществляется банками второго уровня самостоятельно исходя из специфики деятельности в налоговой учетной политике.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расходы относятся в полном объеме только к деятельности по кредитованию субъектов предпринимательства, как к выделяемой категории или прочей деятельности, осуществляемой банками второго уровня, с которой они имеют прямую причинно-следственную связь.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налогооблагаемого дохода от деятельности по кредитованию субъектов предпринимательства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Налогооблагаемый доход или убыток от деятельности по кредитованию субъектов предпринимательства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Налогооблагаемый доход банка второго уровня от деятельности по кредитованию субъектов предпринимательства (НОД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235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налогооблагаемый доход банка второго уровня от деятельности по кредитованию субъектов предпринимательства;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совокупный годовой доход банка второго уровня от деятельности по кредитованию субъектов предпринимательства,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уменьшение СГД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, относящееся к деятельности по кредитованию субъектов предпринимательства;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корректировка СГД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, осуществляемая в соответствии с Налоговым кодексом, относящаяся к деятельности по кредитованию субъектов предпринимательства;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вычеты,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корректировка вычетов;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– удельный вес,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Положительное значение, полученное при применении формулы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налогооблагаемым доходом по банковской деятельности по кредитованию субъектов предпринимательства.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Отрицательное значение, полученное при применении формулы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убытком от деятельности по кредитованию субъектов предпринимательства.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Совокупный годовой доход от деятельности по кредитованию субъектов предпринимательства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ведения раздельного налогового учета доходы от деятельности, осуществляемой банками второго уровня, в полном объеме распределяются с учетом прямой причинно-следственной связи с деятельностью по кредитованию субъектов предпринимательства или прочей деятельностью, осуществляемой банками второго уровня.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годовой доход банка второго уровня от деятельности по кредитованию субъектов предпринимательства (далее – СГД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) включает следующие виды доходов, относящихся к деятельности по кредитованию субъектов предпринимательства: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реализации: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в виде вознаграждения по кредиту (займу), выданному в рамках деятельности по кредитованию субъектов предпринимательства, в том числе комиссионные доходы за обслуживание и сопровождение кредитов (займов);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в виде вознаграждения по передаче имущества по договору лизинга, выданному в рамках деятельности по кредитованию субъектов предпринимательства;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по операциям факторинга, форфейтинга, аккредитива, кредитной линии, гарантий, поручительств, в рамках деятельности по кредитованию субъектов предпринимательства;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присужденные или признанные должником неустойки (штрафы, пени) по кредиту (займу), выданному в рамках деятельности по кредитованию субъектов предпринимательства;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 от уступки права требования по кредиту (займу)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выданному в рамках деятельности по кредитованию субъектов предпринимательства;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превышение суммы положительной курсовой разницы над суммой отрицательной курсовой разницы по кредиту (займу), выданному в рамках деятельности по кредитованию субъектов предпринимательства.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отнесения курсовой разницы по кредиту (займу), выданному в рамках деятельности по кредитованию субъектов предпринимательства, по прямой причинно-следственной связи к деятельности по кредитованию субъектов предпринимательства, распределению подлежит полученный за налоговый период итоговый (сальдированный) результат в виде превышения суммы положительной курсовой разницы над суммой отрицательной курсовой путем применения удельного веса,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доходы от снижения размеров провизий (резервов), созданных банком второго уровня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относящихся к деятельности по кредитованию субъектов предпринимательства.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Уменьшение совокупного годового дохода от деятельности по кредитованию субъектов предпринимательства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определения налогооблагаемого дохода от деятельности по кредитованию субъектов предпринимательства (НОД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) совокупный годовой доход от деятельности по кредитованию субъектов предпринимательства (СГД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) уменьшается на доходы от уступки права требования, полученные банком второго уровня в связи с выкупом у организации, специализирующейся на улучшении качества кредитных портфелей банков второго уровня, единственным акционером которой является Правительство Республики Казахстан, ранее уступленных такой организации прав требований по кредитам (займам), выданным в рамках деятельности по кредитованию субъектов предпринимательства.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Корректировка совокупного годового дохода от деятельности по кредитованию субъектов предпринимательства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Корректировкой совокупного годового дохода от деятельности по кредитованию субъектов предпринимательства признается увеличение или уменьшение размера дохода отчетного налогового периода в пределах суммы ранее признанного дохода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Налогового кодекса, относящихся к деятельности по кредитованию субъектов предпринимательства.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Вычеты от деятельности по кредитованию субъектов предпринимательства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Отчисления в резервные фонды по кредитам, выданным в рамках деятельности по кредитованию субъектов предпринимательства, являются расходами по деятельности по кредитованию субъектов предпринимательства, относящимися на вычеты от деятельности по кредитованию субъектов предпринимательства в полном объеме.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выбора в учетной политике метода классификации расходов на прямые и общие, прямыми расходами по деятельности по кредитованию субъектов предпринимательства относящимися на вычеты являются: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реализованным товарам, работам, услугам, относящимся к деятельности по кредитованию субъектов предпринимательства;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начисленным доходам работников и отдельных расходов работодателя, которые не являются доходом физического лица, связанных с деятельностью по кредитованию субъектов предпринимательства;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отчисления в Государственный фонд социального страхования, Фонд социального медицинского страхования и обязательные пенсионные взносы работодателя в пользу работника, участвующего в деятельности банка, связанной с кредитованием субъектов предпринимательства;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превышения суммы отрицательной курсовой разницы над суммой положительной курсовой разницы по кредиту (займу), выданному в рамках деятельности по кредитованию субъектов предпринимательства. Если курсовая разница не может быть отнесена по прямой причинно-следственной связи к деятельности по кредитованию субъектов предпринимательства налогоплательщика, распределению подлежит полученный за налоговый период итоговый (сальдированный) результат в виде превышения суммы отрицательной курсовой разницы над суммой положительной курсовой разницы путем применения удельного веса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суммы представительских расходов, относящихся к деятельности по кредитованию субъектов предпринимательства;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расходы, относящиеся к деятельности по кредитованию субъектов предпринимательства.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отнесения расходов, определенных настоящим пунктом, по прямой причинно-следственной связи к выделяемым категориям, данные расходы подлежат включению в состав общих расходов и распределению между деятельностью по кредитованию субъектов предпринимательства и прочей деятельностью, осуществляемой банками второго уровня путем применения удельного веса, определенного в соответствии с пунктом 15 настоящих Правил.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Общие расходы подлежат распределению между деятельностью по кредитованию субъектов предпринимательства и прочей деятельностью, осуществляемой банками второго уровня путем применения удельного веса,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Удельный вес определяется как удельный вес совокупного годового дохода банка второго уровня от деятельности по кредитованию субъектов предпринимательства в размере суммы,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в общем совокупном годовом доходе банка второго уровня от деятельности, осуществляемой банками второго уровня без учета доходов от снижения размеров провизий (резервов), созданных банком второго уровня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доходов в виде превышения суммы положительной курсовой разницы над суммой отрицательной курсовой разницы.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совокупный доход определяется путем сложения совокупного годового дохода от деятельности по кредитованию субъектов предпринимательства и прочей деятельности, осуществляемой банками второго уровня.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удельного веса определяется налогоплательщиком (налоговым агентом) в процентах до одной сотой доли (0,01 %).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Вычеты, относящиеся к деятельности по кредитованию субъектов предпринимательства (В</w:t>
      </w: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>), определяются по следующей формуле: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337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всех вычетов, примененных налогоплательщиком в отчетном налоговом периоде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прпред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вычетов, относящихся к деятельности по кредитованию субъектов предпринимательства,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прпроч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вычетов, относящихся к прочей деятельности, осуществляемой банками второго уровня,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– удельный вес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Корректировка вычетов, относящихся к деятельности по кредитованию субъектов предпринимательства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Корректировкой вычетов, относящихся к деятельности по кредитованию субъектов предпринимательства, признается увеличение или уменьшение размера вычетов отчетного налогового периода в пределах суммы ранее признанного вычета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 Налогового кодекса.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налогооблагаемого дохода от прочей деятельности, осуществляемой банками второго уровня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Налогооблагаемый доход или убыток от прочей деятельности, осуществляемой банками второго уровня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Налогооблагаемый доход банка второго уровня от прочей деятельности, осуществляемой банками второго уровня (НОД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следующей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налогооблагаемый доход банка второго уровня от прочей деятельности, осуществляемой банками второго уровня;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совокупный годовой доход банка второго уровня от прочей деятельности, осуществляемой банками второго уровня,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</w:t>
      </w:r>
      <w:r>
        <w:rPr>
          <w:rFonts w:ascii="Times New Roman"/>
          <w:b w:val="false"/>
          <w:i w:val="false"/>
          <w:color w:val="000000"/>
          <w:vertAlign w:val="subscript"/>
        </w:rPr>
        <w:t>прочее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уменьшение СГД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уменьшений, относящихся к деятельности по кредитованию субъектов предпринимательства;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</w:t>
      </w:r>
      <w:r>
        <w:rPr>
          <w:rFonts w:ascii="Times New Roman"/>
          <w:b w:val="false"/>
          <w:i w:val="false"/>
          <w:color w:val="000000"/>
          <w:vertAlign w:val="subscript"/>
        </w:rPr>
        <w:t>прочая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корректировка СГД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>, осуществляемая в соответствии с Налоговым кодексом, не относящаяся к деятельности по кредитованию субъектов предпринимательства;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прочие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вычетов от прочей деятельности, осуществляемой банками второго уровня,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корректировка вычетов;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– удельный вес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Положительное значение, полученное при применении формулы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налогооблагаемым доходом от прочей деятельности, осуществляемой банками второго уровня.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Отрицательное значение, полученное при применении формулы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убытком от прочей деятельности, осуществляемой банками второго уровня.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Совокупный годовой доход от прочей деятельности, осуществляемой банками второго уровня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совокупный годовой доход банка второго уровня от прочей деятельности, осуществляемой банками второго уровня (далее – СГД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>) включаются все виды доходов в соответствии с Налоговым кодексом, за исключением доходов, относящихся к деятельности по кредитованию субъектов предпринимательства.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Уменьшение совокупного годового дохода от прочей деятельности, осуществляемой банками второго уровня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целях определения налогооблагаемого дохода от прочей деятельности совокупный годовой доход от прочей деятельности подлежит уменьшению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без учета уменьшений, относящихся к уменьшению совокупного годового дохода от деятельности по кредитованию субъектов предпринимательства.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Корректировка совокупного годового дохода от прочей деятельности, осуществляемой банками второго уровня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Корректировкой совокупного годового дохода от прочей деятельности признается увеличение или уменьшение размера дохода отчетного налогового периода в пределах суммы ранее признанного дохода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Налогового кодекса, относящихся к прочей деятельности, осуществляемой банками второго уровня.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Вычеты по прочей деятельности, осуществляемой банками второго уровня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Отчисления в резервные фонды по прочей деятельности, осуществляемой банками второго уровня, являются расходами по прочей деятельности, осуществляемой банками второго уровня, относящимися на вычеты по прочей деятельности, осуществляемой банками второго уровня в полном объеме.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выбора в учетной политике метода классификации расходов на прямые и общие, прямыми расходами по прочей деятельности, осуществляемой банками второго уровня являются расходы,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Налогового кодекса, которые имеют прямую причинно-следственную связь к прочей деятельности, осуществляемой банками второго уровня, за исключением расходов, определенных пунктом 24 настоящих Правил.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отнесения расходов, определенных настоящим пунктом, по прямой причинно-следственной связи к выделяемым категориям, данные расходы подлежат включению в состав общих расходов и распределению между деятельностью по кредитованию субъектов предпринимательства и прочей деятельностью, осуществляемой банками второго уровня путем применения удельного веса,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Вычеты, относящиеся к прочей деятельности, осуществляемой банками второго уровня (В</w:t>
      </w:r>
      <w:r>
        <w:rPr>
          <w:rFonts w:ascii="Times New Roman"/>
          <w:b w:val="false"/>
          <w:i w:val="false"/>
          <w:color w:val="000000"/>
          <w:vertAlign w:val="subscript"/>
        </w:rPr>
        <w:t>прочий</w:t>
      </w:r>
      <w:r>
        <w:rPr>
          <w:rFonts w:ascii="Times New Roman"/>
          <w:b w:val="false"/>
          <w:i w:val="false"/>
          <w:color w:val="000000"/>
          <w:sz w:val="28"/>
        </w:rPr>
        <w:t>), определяются по следующей формуле: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6451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всех вычетов, примененных налогоплательщиком в отчетном налоговом периоде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прпред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сумма вычетов, относящихся к деятельности по кредитованию субъектов предпринимательства,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прпроч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вычетов, относящихся к прочей деятельности, осуществляемой банками второго уровня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– удельный вес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Корректировка вычетов, относящихся к прочей деятельности, осуществляемой банками второго уровня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Корректировкой вычетов, относящихся к прочей деятельности, осуществляемой банками второго уровня, признается увеличение или уменьшение размера вычетов отчетного налогового периода в пределах суммы ранее признанного вычета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 Налогового кодекса.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