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7147" w14:textId="c327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энергетики Республики Казахстан от 2 марта 2015 года № 164 "Об утверждении правил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и от 28 декабря 2017 года № 480 "Об утверждении типовых форм договоров единого закупщика электрической энергии с энергопроизводящими организациями, использующими возобновляемые источники энергии, энергетическую утилизацию отходов, промышленными комплексами, прямыми потребителями, и квалифицированными потребителями"</w:t>
      </w:r>
    </w:p>
    <w:p>
      <w:pPr>
        <w:spacing w:after="0"/>
        <w:ind w:left="0"/>
        <w:jc w:val="both"/>
      </w:pPr>
      <w:r>
        <w:rPr>
          <w:rFonts w:ascii="Times New Roman"/>
          <w:b w:val="false"/>
          <w:i w:val="false"/>
          <w:color w:val="000000"/>
          <w:sz w:val="28"/>
        </w:rPr>
        <w:t>Приказ Министра энергетики Республики Казахстан от 30 сентября 2025 года № 367-н/қ. Зарегистрирован в Министерстве юстиции Республики Казахстан 30 сентября 2025 года № 36984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марта 2015 года № 164 "Об утверждении правил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 в Реестре государственной регистрации нормативных правовых актов под № 10662)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"18-1. Победители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поддерживают мощность, емкость и другие параметры систем накопления электрической энергии на заданных параметрах, в том числе с учетом компенсации деградации электрохимических систем накопления электрической энергии, в течение всего жизненного цикла проекта и срока действия соответствующего договора покупки, заключенного между единым закупщиком электрической энергии и соответствующим победителем аукционных торгов по отбору проекта по строительству нового объекта по использованию возобновляемых источников энергии, оснащенного системой накопления электрической энергии.</w:t>
      </w:r>
    </w:p>
    <w:bookmarkEnd w:id="3"/>
    <w:bookmarkStart w:name="z9" w:id="4"/>
    <w:p>
      <w:pPr>
        <w:spacing w:after="0"/>
        <w:ind w:left="0"/>
        <w:jc w:val="both"/>
      </w:pPr>
      <w:r>
        <w:rPr>
          <w:rFonts w:ascii="Times New Roman"/>
          <w:b w:val="false"/>
          <w:i w:val="false"/>
          <w:color w:val="000000"/>
          <w:sz w:val="28"/>
        </w:rPr>
        <w:t xml:space="preserve">
      Подтверждение поддержания мощности, емкости и других параметров системы накопления электрической энергии победителем аукционных торгов по отбору проекта по строительству нового объекта по использованию возобновляемых источников энергии на заданных параметрах осуществляется путем прохождения ежемесячной аттестации, проводимой системным оператором в автоматическом режиме посредством системы АРЧМ,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утвержденных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под № 12489).</w:t>
      </w:r>
    </w:p>
    <w:bookmarkEnd w:id="4"/>
    <w:bookmarkStart w:name="z10" w:id="5"/>
    <w:p>
      <w:pPr>
        <w:spacing w:after="0"/>
        <w:ind w:left="0"/>
        <w:jc w:val="both"/>
      </w:pPr>
      <w:r>
        <w:rPr>
          <w:rFonts w:ascii="Times New Roman"/>
          <w:b w:val="false"/>
          <w:i w:val="false"/>
          <w:color w:val="000000"/>
          <w:sz w:val="28"/>
        </w:rPr>
        <w:t>
      При отсутствии подтверждения требуемых параметров системы накопления электрической энергии, осуществляется изменение значений, предусмотренных пунктом 132-1 Правил балансирующего рынка:</w:t>
      </w:r>
    </w:p>
    <w:bookmarkEnd w:id="5"/>
    <w:bookmarkStart w:name="z11" w:id="6"/>
    <w:p>
      <w:pPr>
        <w:spacing w:after="0"/>
        <w:ind w:left="0"/>
        <w:jc w:val="both"/>
      </w:pPr>
      <w:r>
        <w:rPr>
          <w:rFonts w:ascii="Times New Roman"/>
          <w:b w:val="false"/>
          <w:i w:val="false"/>
          <w:color w:val="000000"/>
          <w:sz w:val="28"/>
        </w:rPr>
        <w:t>
      увеличение понижающих и повышающих коэффициентов;</w:t>
      </w:r>
    </w:p>
    <w:bookmarkEnd w:id="6"/>
    <w:bookmarkStart w:name="z12" w:id="7"/>
    <w:p>
      <w:pPr>
        <w:spacing w:after="0"/>
        <w:ind w:left="0"/>
        <w:jc w:val="both"/>
      </w:pPr>
      <w:r>
        <w:rPr>
          <w:rFonts w:ascii="Times New Roman"/>
          <w:b w:val="false"/>
          <w:i w:val="false"/>
          <w:color w:val="000000"/>
          <w:sz w:val="28"/>
        </w:rPr>
        <w:t>
      снижение предельного диапазона, в рамках которого значение понижающего и повышающего коэффициентов равно 1.";</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новой редакции:</w:t>
      </w:r>
    </w:p>
    <w:bookmarkStart w:name="z14" w:id="8"/>
    <w:p>
      <w:pPr>
        <w:spacing w:after="0"/>
        <w:ind w:left="0"/>
        <w:jc w:val="both"/>
      </w:pPr>
      <w:r>
        <w:rPr>
          <w:rFonts w:ascii="Times New Roman"/>
          <w:b w:val="false"/>
          <w:i w:val="false"/>
          <w:color w:val="000000"/>
          <w:sz w:val="28"/>
        </w:rPr>
        <w:t>
      "30. Банковская гарантия или резервный аккредитив являются безотзывными, предусматривающими возможность их исполнения полностью или по частям по указанию получателя (бенефициара) со сроком действия с даты подписания договора покупки:</w:t>
      </w:r>
    </w:p>
    <w:bookmarkEnd w:id="8"/>
    <w:bookmarkStart w:name="z15" w:id="9"/>
    <w:p>
      <w:pPr>
        <w:spacing w:after="0"/>
        <w:ind w:left="0"/>
        <w:jc w:val="both"/>
      </w:pPr>
      <w:r>
        <w:rPr>
          <w:rFonts w:ascii="Times New Roman"/>
          <w:b w:val="false"/>
          <w:i w:val="false"/>
          <w:color w:val="000000"/>
          <w:sz w:val="28"/>
        </w:rPr>
        <w:t>
      для солнечных электростанций объемом установленной мощности 499 МВт и ниже – не менее 25 (двадцать пять) месяцев;</w:t>
      </w:r>
    </w:p>
    <w:bookmarkEnd w:id="9"/>
    <w:bookmarkStart w:name="z16" w:id="10"/>
    <w:p>
      <w:pPr>
        <w:spacing w:after="0"/>
        <w:ind w:left="0"/>
        <w:jc w:val="both"/>
      </w:pPr>
      <w:r>
        <w:rPr>
          <w:rFonts w:ascii="Times New Roman"/>
          <w:b w:val="false"/>
          <w:i w:val="false"/>
          <w:color w:val="000000"/>
          <w:sz w:val="28"/>
        </w:rPr>
        <w:t>
      для солнечных электростанций объемом установленной мощности свыше 499 МВт – не менее 37 (тридцать семь) месяцев;</w:t>
      </w:r>
    </w:p>
    <w:bookmarkEnd w:id="10"/>
    <w:bookmarkStart w:name="z17" w:id="11"/>
    <w:p>
      <w:pPr>
        <w:spacing w:after="0"/>
        <w:ind w:left="0"/>
        <w:jc w:val="both"/>
      </w:pPr>
      <w:r>
        <w:rPr>
          <w:rFonts w:ascii="Times New Roman"/>
          <w:b w:val="false"/>
          <w:i w:val="false"/>
          <w:color w:val="000000"/>
          <w:sz w:val="28"/>
        </w:rPr>
        <w:t>
      для ветровых электростанций объемом установленной мощности 499 МВт и ниже – не менее 37 (тридцать семь) месяцев;</w:t>
      </w:r>
    </w:p>
    <w:bookmarkEnd w:id="11"/>
    <w:bookmarkStart w:name="z18" w:id="12"/>
    <w:p>
      <w:pPr>
        <w:spacing w:after="0"/>
        <w:ind w:left="0"/>
        <w:jc w:val="both"/>
      </w:pPr>
      <w:r>
        <w:rPr>
          <w:rFonts w:ascii="Times New Roman"/>
          <w:b w:val="false"/>
          <w:i w:val="false"/>
          <w:color w:val="000000"/>
          <w:sz w:val="28"/>
        </w:rPr>
        <w:t>
      для ветровых электростанций объемом установленной мощности свыше 499 МВт – не менее 49 (сорок девять) месяцев;</w:t>
      </w:r>
    </w:p>
    <w:bookmarkEnd w:id="12"/>
    <w:bookmarkStart w:name="z19" w:id="13"/>
    <w:p>
      <w:pPr>
        <w:spacing w:after="0"/>
        <w:ind w:left="0"/>
        <w:jc w:val="both"/>
      </w:pPr>
      <w:r>
        <w:rPr>
          <w:rFonts w:ascii="Times New Roman"/>
          <w:b w:val="false"/>
          <w:i w:val="false"/>
          <w:color w:val="000000"/>
          <w:sz w:val="28"/>
        </w:rPr>
        <w:t>
      для биогазовых электростанций – не менее 37 (тридцать семь) месяцев;</w:t>
      </w:r>
    </w:p>
    <w:bookmarkEnd w:id="13"/>
    <w:bookmarkStart w:name="z20" w:id="14"/>
    <w:p>
      <w:pPr>
        <w:spacing w:after="0"/>
        <w:ind w:left="0"/>
        <w:jc w:val="both"/>
      </w:pPr>
      <w:r>
        <w:rPr>
          <w:rFonts w:ascii="Times New Roman"/>
          <w:b w:val="false"/>
          <w:i w:val="false"/>
          <w:color w:val="000000"/>
          <w:sz w:val="28"/>
        </w:rPr>
        <w:t>
      для гидроэлектростанций – не менее 61 (шестьдесят один) месяцев.";</w:t>
      </w:r>
    </w:p>
    <w:bookmarkEnd w:id="14"/>
    <w:bookmarkStart w:name="z21" w:id="1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34</w:t>
      </w:r>
      <w:r>
        <w:rPr>
          <w:rFonts w:ascii="Times New Roman"/>
          <w:b w:val="false"/>
          <w:i w:val="false"/>
          <w:color w:val="000000"/>
          <w:sz w:val="28"/>
        </w:rPr>
        <w:t xml:space="preserve"> изложить в новой редакции:</w:t>
      </w:r>
    </w:p>
    <w:bookmarkEnd w:id="15"/>
    <w:bookmarkStart w:name="z22" w:id="16"/>
    <w:p>
      <w:pPr>
        <w:spacing w:after="0"/>
        <w:ind w:left="0"/>
        <w:jc w:val="both"/>
      </w:pPr>
      <w:r>
        <w:rPr>
          <w:rFonts w:ascii="Times New Roman"/>
          <w:b w:val="false"/>
          <w:i w:val="false"/>
          <w:color w:val="000000"/>
          <w:sz w:val="28"/>
        </w:rPr>
        <w:t xml:space="preserve">
      "2) при не предоставлении копии акта приемки объекта в эксплуатацию по использованию ВИЭ, утвержденного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Закон об архитектурной деятельности), в отношении которого заключается договор покупки – в размере 100 % (сто процентов) от суммы финансового обеспечения исполнения условий договора покупки, а при удержании части финансового обеспечения исполнения условий договора покупки в соответствии с подпунктом 1) настоящего пункта – 70 % (семьдесят процентов) суммы финансового обеспечения исполнения условий договора покупки в следующие сроки с даты подписания договора покупки:</w:t>
      </w:r>
    </w:p>
    <w:bookmarkEnd w:id="16"/>
    <w:bookmarkStart w:name="z23" w:id="17"/>
    <w:p>
      <w:pPr>
        <w:spacing w:after="0"/>
        <w:ind w:left="0"/>
        <w:jc w:val="both"/>
      </w:pPr>
      <w:r>
        <w:rPr>
          <w:rFonts w:ascii="Times New Roman"/>
          <w:b w:val="false"/>
          <w:i w:val="false"/>
          <w:color w:val="000000"/>
          <w:sz w:val="28"/>
        </w:rPr>
        <w:t>
      для солнечных электростанций объемом установленной мощности 499 МВт и ниже – в течение 24 (двадцать четыре) месяцев;</w:t>
      </w:r>
    </w:p>
    <w:bookmarkEnd w:id="17"/>
    <w:bookmarkStart w:name="z24" w:id="18"/>
    <w:p>
      <w:pPr>
        <w:spacing w:after="0"/>
        <w:ind w:left="0"/>
        <w:jc w:val="both"/>
      </w:pPr>
      <w:r>
        <w:rPr>
          <w:rFonts w:ascii="Times New Roman"/>
          <w:b w:val="false"/>
          <w:i w:val="false"/>
          <w:color w:val="000000"/>
          <w:sz w:val="28"/>
        </w:rPr>
        <w:t>
      для солнечных электростанций объемом установленной мощности свыше 499 МВт – в течение 36 (тридцать шесть) месяцев;</w:t>
      </w:r>
    </w:p>
    <w:bookmarkEnd w:id="18"/>
    <w:bookmarkStart w:name="z25" w:id="19"/>
    <w:p>
      <w:pPr>
        <w:spacing w:after="0"/>
        <w:ind w:left="0"/>
        <w:jc w:val="both"/>
      </w:pPr>
      <w:r>
        <w:rPr>
          <w:rFonts w:ascii="Times New Roman"/>
          <w:b w:val="false"/>
          <w:i w:val="false"/>
          <w:color w:val="000000"/>
          <w:sz w:val="28"/>
        </w:rPr>
        <w:t>
      для ветровых электростанций объемом установленной мощности 499 МВт и ниже – в течение 36 (тридцать шесть) месяцев;</w:t>
      </w:r>
    </w:p>
    <w:bookmarkEnd w:id="19"/>
    <w:bookmarkStart w:name="z26" w:id="20"/>
    <w:p>
      <w:pPr>
        <w:spacing w:after="0"/>
        <w:ind w:left="0"/>
        <w:jc w:val="both"/>
      </w:pPr>
      <w:r>
        <w:rPr>
          <w:rFonts w:ascii="Times New Roman"/>
          <w:b w:val="false"/>
          <w:i w:val="false"/>
          <w:color w:val="000000"/>
          <w:sz w:val="28"/>
        </w:rPr>
        <w:t>
      для ветровых электростанций объемом установленной мощности свыше 499 МВт – в течение 48 (сорок восемь) месяцев;</w:t>
      </w:r>
    </w:p>
    <w:bookmarkEnd w:id="20"/>
    <w:bookmarkStart w:name="z27" w:id="21"/>
    <w:p>
      <w:pPr>
        <w:spacing w:after="0"/>
        <w:ind w:left="0"/>
        <w:jc w:val="both"/>
      </w:pPr>
      <w:r>
        <w:rPr>
          <w:rFonts w:ascii="Times New Roman"/>
          <w:b w:val="false"/>
          <w:i w:val="false"/>
          <w:color w:val="000000"/>
          <w:sz w:val="28"/>
        </w:rPr>
        <w:t>
      для биогазовых электростанций – в течение 36 (тридцать шесть) месяцев;</w:t>
      </w:r>
    </w:p>
    <w:bookmarkEnd w:id="21"/>
    <w:bookmarkStart w:name="z28" w:id="22"/>
    <w:p>
      <w:pPr>
        <w:spacing w:after="0"/>
        <w:ind w:left="0"/>
        <w:jc w:val="both"/>
      </w:pPr>
      <w:r>
        <w:rPr>
          <w:rFonts w:ascii="Times New Roman"/>
          <w:b w:val="false"/>
          <w:i w:val="false"/>
          <w:color w:val="000000"/>
          <w:sz w:val="28"/>
        </w:rPr>
        <w:t>
      для гидроэлектростанций – в течение 60 (шестьдесят) месяцев;";</w:t>
      </w:r>
    </w:p>
    <w:bookmarkEnd w:id="22"/>
    <w:bookmarkStart w:name="z29" w:id="2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36</w:t>
      </w:r>
      <w:r>
        <w:rPr>
          <w:rFonts w:ascii="Times New Roman"/>
          <w:b w:val="false"/>
          <w:i w:val="false"/>
          <w:color w:val="000000"/>
          <w:sz w:val="28"/>
        </w:rPr>
        <w:t xml:space="preserve"> изложить в новой редакции:</w:t>
      </w:r>
    </w:p>
    <w:bookmarkEnd w:id="23"/>
    <w:bookmarkStart w:name="z30" w:id="24"/>
    <w:p>
      <w:pPr>
        <w:spacing w:after="0"/>
        <w:ind w:left="0"/>
        <w:jc w:val="both"/>
      </w:pPr>
      <w:r>
        <w:rPr>
          <w:rFonts w:ascii="Times New Roman"/>
          <w:b w:val="false"/>
          <w:i w:val="false"/>
          <w:color w:val="000000"/>
          <w:sz w:val="28"/>
        </w:rPr>
        <w:t xml:space="preserve">
      "2) копию акта приемки в эксплуатацию объекта по использованию ВИЭ,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следующие сроки с даты подписания договора покупки:</w:t>
      </w:r>
    </w:p>
    <w:bookmarkEnd w:id="24"/>
    <w:bookmarkStart w:name="z31" w:id="25"/>
    <w:p>
      <w:pPr>
        <w:spacing w:after="0"/>
        <w:ind w:left="0"/>
        <w:jc w:val="both"/>
      </w:pPr>
      <w:r>
        <w:rPr>
          <w:rFonts w:ascii="Times New Roman"/>
          <w:b w:val="false"/>
          <w:i w:val="false"/>
          <w:color w:val="000000"/>
          <w:sz w:val="28"/>
        </w:rPr>
        <w:t>
      для солнечных электростанций объемом установленной мощности 499 МВт и ниже – в течение 24 (двадцать четыре) месяцев;</w:t>
      </w:r>
    </w:p>
    <w:bookmarkEnd w:id="25"/>
    <w:bookmarkStart w:name="z32" w:id="26"/>
    <w:p>
      <w:pPr>
        <w:spacing w:after="0"/>
        <w:ind w:left="0"/>
        <w:jc w:val="both"/>
      </w:pPr>
      <w:r>
        <w:rPr>
          <w:rFonts w:ascii="Times New Roman"/>
          <w:b w:val="false"/>
          <w:i w:val="false"/>
          <w:color w:val="000000"/>
          <w:sz w:val="28"/>
        </w:rPr>
        <w:t>
      для солнечных электростанций объемом установленной мощности свыше 499 МВт – в течение 36 (тридцать шесть) месяцев;</w:t>
      </w:r>
    </w:p>
    <w:bookmarkEnd w:id="26"/>
    <w:bookmarkStart w:name="z33" w:id="27"/>
    <w:p>
      <w:pPr>
        <w:spacing w:after="0"/>
        <w:ind w:left="0"/>
        <w:jc w:val="both"/>
      </w:pPr>
      <w:r>
        <w:rPr>
          <w:rFonts w:ascii="Times New Roman"/>
          <w:b w:val="false"/>
          <w:i w:val="false"/>
          <w:color w:val="000000"/>
          <w:sz w:val="28"/>
        </w:rPr>
        <w:t>
      для ветровых электростанций объемом установленной мощности 499 МВт и ниже – в течение 36 (тридцать шесть) месяцев;</w:t>
      </w:r>
    </w:p>
    <w:bookmarkEnd w:id="27"/>
    <w:bookmarkStart w:name="z34" w:id="28"/>
    <w:p>
      <w:pPr>
        <w:spacing w:after="0"/>
        <w:ind w:left="0"/>
        <w:jc w:val="both"/>
      </w:pPr>
      <w:r>
        <w:rPr>
          <w:rFonts w:ascii="Times New Roman"/>
          <w:b w:val="false"/>
          <w:i w:val="false"/>
          <w:color w:val="000000"/>
          <w:sz w:val="28"/>
        </w:rPr>
        <w:t>
      для ветровых электростанций объемом установленной мощности свыше 499 МВт – в течение 48 (сорок восемь) месяцев;</w:t>
      </w:r>
    </w:p>
    <w:bookmarkEnd w:id="28"/>
    <w:bookmarkStart w:name="z35" w:id="29"/>
    <w:p>
      <w:pPr>
        <w:spacing w:after="0"/>
        <w:ind w:left="0"/>
        <w:jc w:val="both"/>
      </w:pPr>
      <w:r>
        <w:rPr>
          <w:rFonts w:ascii="Times New Roman"/>
          <w:b w:val="false"/>
          <w:i w:val="false"/>
          <w:color w:val="000000"/>
          <w:sz w:val="28"/>
        </w:rPr>
        <w:t>
      для биогазовых электростанций – в течение 36 (тридцать шесть) месяцев;</w:t>
      </w:r>
    </w:p>
    <w:bookmarkEnd w:id="29"/>
    <w:bookmarkStart w:name="z36" w:id="30"/>
    <w:p>
      <w:pPr>
        <w:spacing w:after="0"/>
        <w:ind w:left="0"/>
        <w:jc w:val="both"/>
      </w:pPr>
      <w:r>
        <w:rPr>
          <w:rFonts w:ascii="Times New Roman"/>
          <w:b w:val="false"/>
          <w:i w:val="false"/>
          <w:color w:val="000000"/>
          <w:sz w:val="28"/>
        </w:rPr>
        <w:t>
      для гидроэлектростанций – в течение 60 (шестьдесят) месяцев.</w:t>
      </w:r>
    </w:p>
    <w:bookmarkEnd w:id="30"/>
    <w:bookmarkStart w:name="z37" w:id="31"/>
    <w:p>
      <w:pPr>
        <w:spacing w:after="0"/>
        <w:ind w:left="0"/>
        <w:jc w:val="both"/>
      </w:pPr>
      <w:r>
        <w:rPr>
          <w:rFonts w:ascii="Times New Roman"/>
          <w:b w:val="false"/>
          <w:i w:val="false"/>
          <w:color w:val="000000"/>
          <w:sz w:val="28"/>
        </w:rPr>
        <w:t>
      При этом, указанные сроки, продлеваются на 1 (один) календарный год при истечении срока, предусмотренного частью первой настоящего подпункта будет предоставлено подтверждение о выполнении строительно-монтажных работ по объекту по использованию ВИЭ в объеме не менее 70 % (семьдесят процентов) от общего объема работ по строительству объекта по использованию ВИЭ от уполномоченной организации (лица), осуществляющей (-его) технический надзор;";</w:t>
      </w:r>
    </w:p>
    <w:bookmarkEnd w:id="31"/>
    <w:bookmarkStart w:name="z38" w:id="3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82</w:t>
      </w:r>
      <w:r>
        <w:rPr>
          <w:rFonts w:ascii="Times New Roman"/>
          <w:b w:val="false"/>
          <w:i w:val="false"/>
          <w:color w:val="000000"/>
          <w:sz w:val="28"/>
        </w:rPr>
        <w:t xml:space="preserve"> изложить в новой редакции:</w:t>
      </w:r>
    </w:p>
    <w:bookmarkEnd w:id="32"/>
    <w:bookmarkStart w:name="z39" w:id="33"/>
    <w:p>
      <w:pPr>
        <w:spacing w:after="0"/>
        <w:ind w:left="0"/>
        <w:jc w:val="both"/>
      </w:pPr>
      <w:r>
        <w:rPr>
          <w:rFonts w:ascii="Times New Roman"/>
          <w:b w:val="false"/>
          <w:i w:val="false"/>
          <w:color w:val="000000"/>
          <w:sz w:val="28"/>
        </w:rPr>
        <w:t xml:space="preserve">
      "2) копию акта приемки в эксплуатацию объекта по использованию ВИЭ,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в следующие сроки с даты подписания договора покупки:</w:t>
      </w:r>
    </w:p>
    <w:bookmarkEnd w:id="33"/>
    <w:bookmarkStart w:name="z40" w:id="34"/>
    <w:p>
      <w:pPr>
        <w:spacing w:after="0"/>
        <w:ind w:left="0"/>
        <w:jc w:val="both"/>
      </w:pPr>
      <w:r>
        <w:rPr>
          <w:rFonts w:ascii="Times New Roman"/>
          <w:b w:val="false"/>
          <w:i w:val="false"/>
          <w:color w:val="000000"/>
          <w:sz w:val="28"/>
        </w:rPr>
        <w:t>
      для солнечных электростанций объемом установленной мощности 499 МВт и ниже – в течение 24 (двадцать четыре) месяцев;</w:t>
      </w:r>
    </w:p>
    <w:bookmarkEnd w:id="34"/>
    <w:bookmarkStart w:name="z41" w:id="35"/>
    <w:p>
      <w:pPr>
        <w:spacing w:after="0"/>
        <w:ind w:left="0"/>
        <w:jc w:val="both"/>
      </w:pPr>
      <w:r>
        <w:rPr>
          <w:rFonts w:ascii="Times New Roman"/>
          <w:b w:val="false"/>
          <w:i w:val="false"/>
          <w:color w:val="000000"/>
          <w:sz w:val="28"/>
        </w:rPr>
        <w:t>
      для солнечных электростанций объемом установленной мощности свыше 499 МВт – в течение 36 (тридцать шесть) месяцев;</w:t>
      </w:r>
    </w:p>
    <w:bookmarkEnd w:id="35"/>
    <w:bookmarkStart w:name="z42" w:id="36"/>
    <w:p>
      <w:pPr>
        <w:spacing w:after="0"/>
        <w:ind w:left="0"/>
        <w:jc w:val="both"/>
      </w:pPr>
      <w:r>
        <w:rPr>
          <w:rFonts w:ascii="Times New Roman"/>
          <w:b w:val="false"/>
          <w:i w:val="false"/>
          <w:color w:val="000000"/>
          <w:sz w:val="28"/>
        </w:rPr>
        <w:t>
      для ветровых электростанций объемом установленной мощности 499 МВт и ниже – в течение 36 (тридцать шесть) месяцев;</w:t>
      </w:r>
    </w:p>
    <w:bookmarkEnd w:id="36"/>
    <w:bookmarkStart w:name="z43" w:id="37"/>
    <w:p>
      <w:pPr>
        <w:spacing w:after="0"/>
        <w:ind w:left="0"/>
        <w:jc w:val="both"/>
      </w:pPr>
      <w:r>
        <w:rPr>
          <w:rFonts w:ascii="Times New Roman"/>
          <w:b w:val="false"/>
          <w:i w:val="false"/>
          <w:color w:val="000000"/>
          <w:sz w:val="28"/>
        </w:rPr>
        <w:t>
      для ветровых электростанций объемом установленной мощности 499 МВт и ниже – в течение 48 (сорок восемь) месяцев;</w:t>
      </w:r>
    </w:p>
    <w:bookmarkEnd w:id="37"/>
    <w:bookmarkStart w:name="z44" w:id="38"/>
    <w:p>
      <w:pPr>
        <w:spacing w:after="0"/>
        <w:ind w:left="0"/>
        <w:jc w:val="both"/>
      </w:pPr>
      <w:r>
        <w:rPr>
          <w:rFonts w:ascii="Times New Roman"/>
          <w:b w:val="false"/>
          <w:i w:val="false"/>
          <w:color w:val="000000"/>
          <w:sz w:val="28"/>
        </w:rPr>
        <w:t>
      для биогазовых электростанций – в течение 36 (тридцать шесть) месяцев;</w:t>
      </w:r>
    </w:p>
    <w:bookmarkEnd w:id="38"/>
    <w:bookmarkStart w:name="z45" w:id="39"/>
    <w:p>
      <w:pPr>
        <w:spacing w:after="0"/>
        <w:ind w:left="0"/>
        <w:jc w:val="both"/>
      </w:pPr>
      <w:r>
        <w:rPr>
          <w:rFonts w:ascii="Times New Roman"/>
          <w:b w:val="false"/>
          <w:i w:val="false"/>
          <w:color w:val="000000"/>
          <w:sz w:val="28"/>
        </w:rPr>
        <w:t>
      для гидроэлектростанций – в течение 60 (шестьдесят) месяцев.</w:t>
      </w:r>
    </w:p>
    <w:bookmarkEnd w:id="39"/>
    <w:bookmarkStart w:name="z46" w:id="40"/>
    <w:p>
      <w:pPr>
        <w:spacing w:after="0"/>
        <w:ind w:left="0"/>
        <w:jc w:val="both"/>
      </w:pPr>
      <w:r>
        <w:rPr>
          <w:rFonts w:ascii="Times New Roman"/>
          <w:b w:val="false"/>
          <w:i w:val="false"/>
          <w:color w:val="000000"/>
          <w:sz w:val="28"/>
        </w:rPr>
        <w:t>
      При этом, указанные сроки, продлеваются на 1 (один) календарный год при истечении срока, предусмотренного частью первой настоящего подпункта будет предоставлено подтверждение о выполнении строительно-монтажных работ по объекту по использованию ВИЭ в объеме не менее 70 % (семьдесят процентов) от общего объема работ по строительству объекта по использованию ВИЭ от уполномоченной организации (лица), осуществляющей (-его) технический надзор в соответствии с Законом об архитектурной деятельности;".</w:t>
      </w:r>
    </w:p>
    <w:bookmarkEnd w:id="40"/>
    <w:bookmarkStart w:name="z47" w:id="4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декабря 2017 года № 480 "Об утверждении типовых форм договоров единого закупщика электрической энергии с энергопроизводящими организациями, использующими возобновляемые источники энергии, энергетическую утилизацию отходов, промышленными комплексами, прямыми потребителями, и квалифицированными потребителями" (зарегистрирован в Реестре государственной регистрации нормативных правовых актов под № 16241) следующее изменение:</w:t>
      </w:r>
    </w:p>
    <w:bookmarkEnd w:id="41"/>
    <w:bookmarkStart w:name="z48"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покупки единым закупщиком электрической энергии электрической энергии у энергопроизводящей организации, использующей возобновляемые источники энергии, по аукционным ценам, утвержденной указанным приказом: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9 изложить в новой редакции:</w:t>
      </w:r>
    </w:p>
    <w:bookmarkStart w:name="z50" w:id="43"/>
    <w:p>
      <w:pPr>
        <w:spacing w:after="0"/>
        <w:ind w:left="0"/>
        <w:jc w:val="both"/>
      </w:pPr>
      <w:r>
        <w:rPr>
          <w:rFonts w:ascii="Times New Roman"/>
          <w:b w:val="false"/>
          <w:i w:val="false"/>
          <w:color w:val="000000"/>
          <w:sz w:val="28"/>
        </w:rPr>
        <w:t>
      "13) предоставить Покупателю копию акта приемки в эксплуатацию объекта по использованию ВИЭ в соответствии с законодательством Республики Казахстан в сфере архитектурной, градостроительной и строительной деятельности, в отношении которого заключен настоящий Договор, – в течение 24 (двадцать четыре) месяцев для солнечных электростанций объемом установленной мощности 499 МВт и ниже, в течение 36 (тридцать шесть) месяцев для солнечных электростанций объемом установленной мощности свыше 499 МВт, в течение 36 (тридцать шесть) месяцев для ветровых электростанций объемом установленной мощности 499 МВт и ниже, в течение 48 (сорок восемь) месяцев для ветровых электростанций объемом установленной мощности свыше 499 МВт, в течение 36 (тридцать шесть) месяцев для биогазовых электростанций, в течение 60 (шестьдесят) месяцев для гидроэлектростанций.</w:t>
      </w:r>
    </w:p>
    <w:bookmarkEnd w:id="43"/>
    <w:bookmarkStart w:name="z51" w:id="44"/>
    <w:p>
      <w:pPr>
        <w:spacing w:after="0"/>
        <w:ind w:left="0"/>
        <w:jc w:val="both"/>
      </w:pPr>
      <w:r>
        <w:rPr>
          <w:rFonts w:ascii="Times New Roman"/>
          <w:b w:val="false"/>
          <w:i w:val="false"/>
          <w:color w:val="000000"/>
          <w:sz w:val="28"/>
        </w:rPr>
        <w:t>
      При этом, указанные сроки, продлеваются на 1 (один) календарный год в случае, если до истечения срока предусмотренного частью первой настоящего подпункта будет предоставлено подтверждение от уполномоченной организации (лица), осуществляющей(его) технический надзор, в соответствии с законодательством Республики Казахстан в сфере архитектурной, градостроительной и строительной деятельности о выполнении строительно-монтажных работ по объекту по использованию ВИЭ в объеме не менее 70 % от общего объема работ по строительству объекта по использованию ВИЭ;".</w:t>
      </w:r>
    </w:p>
    <w:bookmarkEnd w:id="44"/>
    <w:bookmarkStart w:name="z52" w:id="45"/>
    <w:p>
      <w:pPr>
        <w:spacing w:after="0"/>
        <w:ind w:left="0"/>
        <w:jc w:val="both"/>
      </w:pPr>
      <w:r>
        <w:rPr>
          <w:rFonts w:ascii="Times New Roman"/>
          <w:b w:val="false"/>
          <w:i w:val="false"/>
          <w:color w:val="000000"/>
          <w:sz w:val="28"/>
        </w:rPr>
        <w:t>
      3.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45"/>
    <w:bookmarkStart w:name="z53" w:id="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
    <w:bookmarkStart w:name="z54" w:id="4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 после его официального опубликования;</w:t>
      </w:r>
    </w:p>
    <w:bookmarkEnd w:id="47"/>
    <w:bookmarkStart w:name="z55" w:id="4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48"/>
    <w:bookmarkStart w:name="z56" w:id="4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49"/>
    <w:bookmarkStart w:name="z57" w:id="5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59" w:id="51"/>
      <w:r>
        <w:rPr>
          <w:rFonts w:ascii="Times New Roman"/>
          <w:b w:val="false"/>
          <w:i w:val="false"/>
          <w:color w:val="000000"/>
          <w:sz w:val="28"/>
        </w:rPr>
        <w:t>
      "СОГЛАСОВАН"</w:t>
      </w:r>
    </w:p>
    <w:bookmarkEnd w:id="5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