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5591" w14:textId="edb5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12 сентября 2025 года № 505. Зарегистрирован в Министерстве юстиции Республики Казахстан 12 сентября 2025 года № 36829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2"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4" w:id="5"/>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5"/>
    <w:bookmarkStart w:name="z15" w:id="6"/>
    <w:p>
      <w:pPr>
        <w:spacing w:after="0"/>
        <w:ind w:left="0"/>
        <w:jc w:val="both"/>
      </w:pPr>
      <w:r>
        <w:rPr>
          <w:rFonts w:ascii="Times New Roman"/>
          <w:b w:val="false"/>
          <w:i w:val="false"/>
          <w:color w:val="000000"/>
          <w:sz w:val="28"/>
        </w:rPr>
        <w:t>
      1) государственную регистрацию настоящего приказа;</w:t>
      </w:r>
    </w:p>
    <w:bookmarkEnd w:id="6"/>
    <w:bookmarkStart w:name="z16" w:id="7"/>
    <w:p>
      <w:pPr>
        <w:spacing w:after="0"/>
        <w:ind w:left="0"/>
        <w:jc w:val="both"/>
      </w:pPr>
      <w:r>
        <w:rPr>
          <w:rFonts w:ascii="Times New Roman"/>
          <w:b w:val="false"/>
          <w:i w:val="false"/>
          <w:color w:val="000000"/>
          <w:sz w:val="28"/>
        </w:rPr>
        <w:t>
      2) размещения настоящего приказа на интернет-ресурсе Министерства юстиции Республики Казахстан после дня его первого официального опубликования.</w:t>
      </w:r>
    </w:p>
    <w:bookmarkEnd w:id="7"/>
    <w:bookmarkStart w:name="z17"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8"/>
    <w:bookmarkStart w:name="z18"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505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23" w:id="1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а также иные объекты информатизации;</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а также иных объектов информатизации;</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 а также иные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регистрация для субъектов малого предпринимательства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xml:space="preserve">
2. Регистрация коммерческих юридических лиц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а также справка об учетной регистрации филиала (представительства) юридического лица,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xml:space="preserve">
4. Учетная регистрация филиалов и представительств - платно. Оплата государственной услуги по 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w:t>
            </w:r>
          </w:p>
          <w:p>
            <w:pPr>
              <w:spacing w:after="20"/>
              <w:ind w:left="20"/>
              <w:jc w:val="both"/>
            </w:pPr>
            <w:r>
              <w:rPr>
                <w:rFonts w:ascii="Times New Roman"/>
                <w:b w:val="false"/>
                <w:i w:val="false"/>
                <w:color w:val="000000"/>
                <w:sz w:val="20"/>
              </w:rPr>
              <w:t xml:space="preserve">
2.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xml:space="preserve">
В Государственную корпорацию для государственной регистрации юридических лиц предоставляются заявления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w:t>
            </w:r>
          </w:p>
          <w:p>
            <w:pPr>
              <w:spacing w:after="20"/>
              <w:ind w:left="20"/>
              <w:jc w:val="both"/>
            </w:pPr>
            <w:r>
              <w:rPr>
                <w:rFonts w:ascii="Times New Roman"/>
                <w:b w:val="false"/>
                <w:i w:val="false"/>
                <w:color w:val="000000"/>
                <w:sz w:val="20"/>
              </w:rPr>
              <w:t>
учредительный договор; решение учредительного собрания;</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 Жилищно-строительный кооператив:</w:t>
            </w:r>
          </w:p>
          <w:p>
            <w:pPr>
              <w:spacing w:after="20"/>
              <w:ind w:left="20"/>
              <w:jc w:val="both"/>
            </w:pPr>
            <w:r>
              <w:rPr>
                <w:rFonts w:ascii="Times New Roman"/>
                <w:b w:val="false"/>
                <w:i w:val="false"/>
                <w:color w:val="000000"/>
                <w:sz w:val="20"/>
              </w:rPr>
              <w:t>
решение о создании жилищно-строительного кооператива; устав;</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Объединение собственников имущества многоквартирного жилого дома: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Кооператив собственников квартир (нежилых помещений):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 решение уполномоченного органа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w:t>
            </w:r>
          </w:p>
          <w:p>
            <w:pPr>
              <w:spacing w:after="20"/>
              <w:ind w:left="20"/>
              <w:jc w:val="both"/>
            </w:pPr>
            <w:r>
              <w:rPr>
                <w:rFonts w:ascii="Times New Roman"/>
                <w:b w:val="false"/>
                <w:i w:val="false"/>
                <w:color w:val="000000"/>
                <w:sz w:val="20"/>
              </w:rPr>
              <w:t>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w:t>
            </w:r>
          </w:p>
          <w:p>
            <w:pPr>
              <w:spacing w:after="20"/>
              <w:ind w:left="20"/>
              <w:jc w:val="both"/>
            </w:pPr>
            <w:r>
              <w:rPr>
                <w:rFonts w:ascii="Times New Roman"/>
                <w:b w:val="false"/>
                <w:i w:val="false"/>
                <w:color w:val="000000"/>
                <w:sz w:val="20"/>
              </w:rPr>
              <w:t>
решение уполномоченного органа об утверждении устава;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xml:space="preserve">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Палата аудиторов: устав;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Религиозное объединение: устав религиозного объединения, подписанный руководителем религиозного объединения; протокол учредительного собрания (съезда, конференции);</w:t>
            </w:r>
          </w:p>
          <w:p>
            <w:pPr>
              <w:spacing w:after="20"/>
              <w:ind w:left="20"/>
              <w:jc w:val="both"/>
            </w:pPr>
            <w:r>
              <w:rPr>
                <w:rFonts w:ascii="Times New Roman"/>
                <w:b w:val="false"/>
                <w:i w:val="false"/>
                <w:color w:val="000000"/>
                <w:sz w:val="20"/>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w:t>
            </w:r>
          </w:p>
          <w:p>
            <w:pPr>
              <w:spacing w:after="20"/>
              <w:ind w:left="20"/>
              <w:jc w:val="both"/>
            </w:pPr>
            <w:r>
              <w:rPr>
                <w:rFonts w:ascii="Times New Roman"/>
                <w:b w:val="false"/>
                <w:i w:val="false"/>
                <w:color w:val="000000"/>
                <w:sz w:val="20"/>
              </w:rPr>
              <w:t>
копию устава зарубежного центра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20"/>
              <w:ind w:left="20"/>
              <w:jc w:val="both"/>
            </w:pPr>
            <w:r>
              <w:rPr>
                <w:rFonts w:ascii="Times New Roman"/>
                <w:b w:val="false"/>
                <w:i w:val="false"/>
                <w:color w:val="000000"/>
                <w:sz w:val="20"/>
              </w:rPr>
              <w:t>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 положение (устав);</w:t>
            </w:r>
          </w:p>
          <w:p>
            <w:pPr>
              <w:spacing w:after="20"/>
              <w:ind w:left="20"/>
              <w:jc w:val="both"/>
            </w:pPr>
            <w:r>
              <w:rPr>
                <w:rFonts w:ascii="Times New Roman"/>
                <w:b w:val="false"/>
                <w:i w:val="false"/>
                <w:color w:val="000000"/>
                <w:sz w:val="20"/>
              </w:rPr>
              <w:t>
учредительный договор или аналогичное соглашение (при числе собственников (учредителей) более одного);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w:t>
            </w:r>
          </w:p>
          <w:p>
            <w:pPr>
              <w:spacing w:after="20"/>
              <w:ind w:left="20"/>
              <w:jc w:val="both"/>
            </w:pPr>
            <w:r>
              <w:rPr>
                <w:rFonts w:ascii="Times New Roman"/>
                <w:b w:val="false"/>
                <w:i w:val="false"/>
                <w:color w:val="000000"/>
                <w:sz w:val="20"/>
              </w:rPr>
              <w:t>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заявление; положение о филиале (представительстве), утвержденное органом юридического лица;</w:t>
            </w:r>
          </w:p>
          <w:p>
            <w:pPr>
              <w:spacing w:after="20"/>
              <w:ind w:left="20"/>
              <w:jc w:val="both"/>
            </w:pPr>
            <w:r>
              <w:rPr>
                <w:rFonts w:ascii="Times New Roman"/>
                <w:b w:val="false"/>
                <w:i w:val="false"/>
                <w:color w:val="000000"/>
                <w:sz w:val="20"/>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xml:space="preserve">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w:t>
            </w:r>
          </w:p>
          <w:p>
            <w:pPr>
              <w:spacing w:after="20"/>
              <w:ind w:left="20"/>
              <w:jc w:val="both"/>
            </w:pPr>
            <w:r>
              <w:rPr>
                <w:rFonts w:ascii="Times New Roman"/>
                <w:b w:val="false"/>
                <w:i w:val="false"/>
                <w:color w:val="000000"/>
                <w:sz w:val="20"/>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w:t>
            </w:r>
          </w:p>
          <w:p>
            <w:pPr>
              <w:spacing w:after="20"/>
              <w:ind w:left="20"/>
              <w:jc w:val="both"/>
            </w:pPr>
            <w:r>
              <w:rPr>
                <w:rFonts w:ascii="Times New Roman"/>
                <w:b w:val="false"/>
                <w:i w:val="false"/>
                <w:color w:val="000000"/>
                <w:sz w:val="20"/>
              </w:rPr>
              <w:t>
электронная копия устава (положения);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 электронная копия протокола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 электронная копия решения Правительства Республики Казахстан или местного исполнительного органа о создании предприятия;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юридических консультантов: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 уведомление;</w:t>
            </w:r>
          </w:p>
          <w:p>
            <w:pPr>
              <w:spacing w:after="20"/>
              <w:ind w:left="20"/>
              <w:jc w:val="both"/>
            </w:pPr>
            <w:r>
              <w:rPr>
                <w:rFonts w:ascii="Times New Roman"/>
                <w:b w:val="false"/>
                <w:i w:val="false"/>
                <w:color w:val="000000"/>
                <w:sz w:val="20"/>
              </w:rPr>
              <w:t xml:space="preserve">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учредительных документов юридического лица с нотариально засвидетельствованным переводом на казахский и русский языки;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Наименование иных объектов информатизации и банков второго уровня, осуществляющих прием заявлений и выдачу результатов, указаны в разделе "Реестр государственных услуг" на портале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225" w:id="12"/>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228" w:id="13"/>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и представительств"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перерегистрации юридического лица,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а также справка об учетной перерегистрации филиала (представительства) юридического лица,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Государственную корпорацию: заявления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306" w:id="14"/>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309" w:id="15"/>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