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b0fbd" w14:textId="90b0f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юстиции Республики Казахстан от 24 августа 2007 года № 241 "Об утверждении Правил государственной регистрации объекта кондоминиума"</w:t>
      </w:r>
    </w:p>
    <w:p>
      <w:pPr>
        <w:spacing w:after="0"/>
        <w:ind w:left="0"/>
        <w:jc w:val="both"/>
      </w:pPr>
      <w:r>
        <w:rPr>
          <w:rFonts w:ascii="Times New Roman"/>
          <w:b w:val="false"/>
          <w:i w:val="false"/>
          <w:color w:val="000000"/>
          <w:sz w:val="28"/>
        </w:rPr>
        <w:t>Приказ Министра юстиции Республики Казахстан от 5 сентября 2025 года № 490. Зарегистрирован в Министерстве юстиции Республики Казахстан 8 сентября 2025 года № 36804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юстиции Республики Казахстан от 24 августа 2007 года № 241 "Об утверждении Правил государственной регистрации объекта кондоминиума (зарегистрирован в Реестре государственной регистрации нормативных правовых актов за № 4945),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государственной регистрации объекта кондоминиума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"Для государственной регистрации объекта кондоминиума услугодателю представляется письменное заявление по форме, согласно приложению 1 к настоящим Правилам (далее – заявление) не менее чем от двух собственников квартир, нежилых помещений, парковочных мест, кладовок многоквартирного жилого дома, председателя объединения собственников имущества многоквартирного жилого дома или заявление местного исполнительного органа, или заявление заказчика (застройщика) многоквартирного жилого дома.";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"9. Государственной регистрации подлежит изменение состава общего имущества объекта кондоминиума и (или) размера долей собственников квартир, нежилых помещений, парковочных мест, кладовок в общем имуществе объекта кондоминиума в результате изменения полезной площади квартир и площадей нежилых помещений, парковочных мест, кладовок многоквартирного жилого дома. Внесение изменений и дополнений производится в порядке, установленном настоящими Правилами.";</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"16. Заявление о государственной регистрации объекта кондоминиума может быть подано не менее чем от двух собственников квартир, нежилых помещений, парковочных мест, кладовок многоквартирного жилого дома, председателя объединения собственников имущества многоквартирного жилого дома или заявление местного исполнительного органа, или заявление заказчика (застройщика) многоквартирного жилого дома.".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4" w:id="7"/>
    <w:p>
      <w:pPr>
        <w:spacing w:after="0"/>
        <w:ind w:left="0"/>
        <w:jc w:val="both"/>
      </w:pPr>
      <w:r>
        <w:rPr>
          <w:rFonts w:ascii="Times New Roman"/>
          <w:b w:val="false"/>
          <w:i w:val="false"/>
          <w:color w:val="000000"/>
          <w:sz w:val="28"/>
        </w:rPr>
        <w:t>
      2. Комитету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w:t>
      </w:r>
    </w:p>
    <w:bookmarkEnd w:id="7"/>
    <w:bookmarkStart w:name="z15" w:id="8"/>
    <w:p>
      <w:pPr>
        <w:spacing w:after="0"/>
        <w:ind w:left="0"/>
        <w:jc w:val="both"/>
      </w:pPr>
      <w:r>
        <w:rPr>
          <w:rFonts w:ascii="Times New Roman"/>
          <w:b w:val="false"/>
          <w:i w:val="false"/>
          <w:color w:val="000000"/>
          <w:sz w:val="28"/>
        </w:rPr>
        <w:t>
      1) государственную регистрацию настоящего приказа;</w:t>
      </w:r>
    </w:p>
    <w:bookmarkEnd w:id="8"/>
    <w:bookmarkStart w:name="z16" w:id="9"/>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w:t>
      </w:r>
    </w:p>
    <w:bookmarkEnd w:id="9"/>
    <w:bookmarkStart w:name="z17" w:id="1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10"/>
    <w:bookmarkStart w:name="z18" w:id="1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p>
      <w:pPr>
        <w:spacing w:after="0"/>
        <w:ind w:left="0"/>
        <w:jc w:val="both"/>
      </w:pPr>
      <w:bookmarkStart w:name="z20"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сентября 2025 года № 490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Правилам к государственной</w:t>
            </w:r>
            <w:r>
              <w:br/>
            </w:r>
            <w:r>
              <w:rPr>
                <w:rFonts w:ascii="Times New Roman"/>
                <w:b w:val="false"/>
                <w:i w:val="false"/>
                <w:color w:val="000000"/>
                <w:sz w:val="20"/>
              </w:rPr>
              <w:t>регистрации объекта</w:t>
            </w:r>
            <w:r>
              <w:br/>
            </w:r>
            <w:r>
              <w:rPr>
                <w:rFonts w:ascii="Times New Roman"/>
                <w:b w:val="false"/>
                <w:i w:val="false"/>
                <w:color w:val="000000"/>
                <w:sz w:val="20"/>
              </w:rPr>
              <w:t>кондоминиума</w:t>
            </w:r>
          </w:p>
        </w:tc>
      </w:tr>
    </w:tbl>
    <w:bookmarkStart w:name="z24" w:id="14"/>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"Государственная регистрация объекта кондоминиума"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услугодателя:</w:t>
            </w:r>
          </w:p>
          <w:p>
            <w:pPr>
              <w:spacing w:after="20"/>
              <w:ind w:left="20"/>
              <w:jc w:val="both"/>
            </w:pPr>
            <w:r>
              <w:rPr>
                <w:rFonts w:ascii="Times New Roman"/>
                <w:b w:val="false"/>
                <w:i w:val="false"/>
                <w:color w:val="000000"/>
                <w:sz w:val="20"/>
              </w:rPr>
              <w:t>
с момента сдачи пакета документов услугополучателем при обращении к услугодателю в течение трех рабочих дней с момента поступления заявления услугодателю,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2) на портале www.egov.kz:</w:t>
            </w:r>
          </w:p>
          <w:p>
            <w:pPr>
              <w:spacing w:after="20"/>
              <w:ind w:left="20"/>
              <w:jc w:val="both"/>
            </w:pPr>
            <w:r>
              <w:rPr>
                <w:rFonts w:ascii="Times New Roman"/>
                <w:b w:val="false"/>
                <w:i w:val="false"/>
                <w:color w:val="000000"/>
                <w:sz w:val="20"/>
              </w:rPr>
              <w:t>
государственная услуга оказывается в течение одного рабочего дня с момента поступления в информационную систему регистрирующего органа подтверждения об оплате сбора за государственную регистрацию.</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услугодателю – 20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w:t>
            </w:r>
          </w:p>
          <w:p>
            <w:pPr>
              <w:spacing w:after="20"/>
              <w:ind w:left="20"/>
              <w:jc w:val="both"/>
            </w:pPr>
            <w:r>
              <w:rPr>
                <w:rFonts w:ascii="Times New Roman"/>
                <w:b w:val="false"/>
                <w:i w:val="false"/>
                <w:color w:val="000000"/>
                <w:sz w:val="20"/>
              </w:rPr>
              <w:t>
1) к услугодателю: уведомление о государственной регистрации объекта кондоминиума с приложением о расчете долей, согласно приложению 4 настоящих Правил, или приостановлении регистрации либо письменный мотивированный ответ об отказе в оказании государственной услуги, по основаниям, предусмотренным пунктами 3 и 9 Перечня;</w:t>
            </w:r>
          </w:p>
          <w:p>
            <w:pPr>
              <w:spacing w:after="20"/>
              <w:ind w:left="20"/>
              <w:jc w:val="both"/>
            </w:pPr>
            <w:r>
              <w:rPr>
                <w:rFonts w:ascii="Times New Roman"/>
                <w:b w:val="false"/>
                <w:i w:val="false"/>
                <w:color w:val="000000"/>
                <w:sz w:val="20"/>
              </w:rPr>
              <w:t>
2) на портал:</w:t>
            </w:r>
          </w:p>
          <w:p>
            <w:pPr>
              <w:spacing w:after="20"/>
              <w:ind w:left="20"/>
              <w:jc w:val="both"/>
            </w:pPr>
            <w:r>
              <w:rPr>
                <w:rFonts w:ascii="Times New Roman"/>
                <w:b w:val="false"/>
                <w:i w:val="false"/>
                <w:color w:val="000000"/>
                <w:sz w:val="20"/>
              </w:rPr>
              <w:t>
услугополучателю в личный кабинет направляется уведомление о результате оказания услуги, подписанное ЭЦП услугодателя.</w:t>
            </w:r>
          </w:p>
          <w:p>
            <w:pPr>
              <w:spacing w:after="20"/>
              <w:ind w:left="20"/>
              <w:jc w:val="both"/>
            </w:pPr>
            <w:r>
              <w:rPr>
                <w:rFonts w:ascii="Times New Roman"/>
                <w:b w:val="false"/>
                <w:i w:val="false"/>
                <w:color w:val="000000"/>
                <w:sz w:val="20"/>
              </w:rPr>
              <w:t xml:space="preserve">
При положительном результате к уведомлению прилагается расчет долей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платно физическим и юридическим лицам. Оплата за государственную регистрацию взимается в соответствии с тарифами, установленными </w:t>
            </w:r>
            <w:r>
              <w:rPr>
                <w:rFonts w:ascii="Times New Roman"/>
                <w:b w:val="false"/>
                <w:i w:val="false"/>
                <w:color w:val="000000"/>
                <w:sz w:val="20"/>
              </w:rPr>
              <w:t>приказом</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9 апреля 2024 года № 212/НҚ "Об утверждении цен на товары (работы, услуги), производимые и (или) реализуемые некоммерческим акционерным обществом "Государственная корпорация "Правительство для граждан", отнесенные к государственной монополии в сфере государственной регистрации прав на недвижимое имущество.</w:t>
            </w:r>
          </w:p>
          <w:p>
            <w:pPr>
              <w:spacing w:after="20"/>
              <w:ind w:left="20"/>
              <w:jc w:val="both"/>
            </w:pPr>
            <w:r>
              <w:rPr>
                <w:rFonts w:ascii="Times New Roman"/>
                <w:b w:val="false"/>
                <w:i w:val="false"/>
                <w:color w:val="000000"/>
                <w:sz w:val="20"/>
              </w:rPr>
              <w:t>
Оплата также производится через портал посредством платежного шлюза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филиалах Государственной корпорации, осуществляющих государственную регистрацию права на недвижимое имущество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2) в филиалах Государственной корпорации по приему и выдаче документов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w:t>
            </w:r>
          </w:p>
          <w:p>
            <w:pPr>
              <w:spacing w:after="20"/>
              <w:ind w:left="20"/>
              <w:jc w:val="both"/>
            </w:pPr>
            <w:r>
              <w:rPr>
                <w:rFonts w:ascii="Times New Roman"/>
                <w:b w:val="false"/>
                <w:i w:val="false"/>
                <w:color w:val="000000"/>
                <w:sz w:val="20"/>
              </w:rPr>
              <w:t>
1) к услугодателю:</w:t>
            </w:r>
          </w:p>
          <w:p>
            <w:pPr>
              <w:spacing w:after="20"/>
              <w:ind w:left="20"/>
              <w:jc w:val="both"/>
            </w:pPr>
            <w:r>
              <w:rPr>
                <w:rFonts w:ascii="Times New Roman"/>
                <w:b w:val="false"/>
                <w:i w:val="false"/>
                <w:color w:val="000000"/>
                <w:sz w:val="20"/>
              </w:rPr>
              <w:t xml:space="preserve">
письменное заявление не менее чем от двух собственников квартир, нежилых помещений, парковочных мест, нежилых помещений, парковочных мест, кладовок многоквартирного жилого дома, председателя объединения собственников имущества многоквартирного жилого дома или заявление местного исполнительного органа, или заявление заказчика (застройщика) многоквартирного жилого дома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удостоверение личности, либо электронный документ из сервиса цифровых документов (для идентификации), а также оригинал документа либо нотариально заверенную копию документа, подтверждающего полномочия представителя услугополучателя;</w:t>
            </w:r>
          </w:p>
          <w:p>
            <w:pPr>
              <w:spacing w:after="20"/>
              <w:ind w:left="20"/>
              <w:jc w:val="both"/>
            </w:pPr>
            <w:r>
              <w:rPr>
                <w:rFonts w:ascii="Times New Roman"/>
                <w:b w:val="false"/>
                <w:i w:val="false"/>
                <w:color w:val="000000"/>
                <w:sz w:val="20"/>
              </w:rPr>
              <w:t>
правоустанавливающий и идентификационный документ на земельный участок, если до момента регистрации объекта кондоминиума право на земельный участок не было зарегистрировано;</w:t>
            </w:r>
          </w:p>
          <w:p>
            <w:pPr>
              <w:spacing w:after="20"/>
              <w:ind w:left="20"/>
              <w:jc w:val="both"/>
            </w:pPr>
            <w:r>
              <w:rPr>
                <w:rFonts w:ascii="Times New Roman"/>
                <w:b w:val="false"/>
                <w:i w:val="false"/>
                <w:color w:val="000000"/>
                <w:sz w:val="20"/>
              </w:rPr>
              <w:t>
документ, подтверждающий оплату за государственную регистрацию объекта кондоминиума.</w:t>
            </w:r>
          </w:p>
          <w:p>
            <w:pPr>
              <w:spacing w:after="20"/>
              <w:ind w:left="20"/>
              <w:jc w:val="both"/>
            </w:pPr>
            <w:r>
              <w:rPr>
                <w:rFonts w:ascii="Times New Roman"/>
                <w:b w:val="false"/>
                <w:i w:val="false"/>
                <w:color w:val="000000"/>
                <w:sz w:val="20"/>
              </w:rPr>
              <w:t>
Сведения, содержащиеся в государственных информационных системах, об идентификационных характеристиках на земельный участок, работник приема и выдачи документов получает из соответствующих государственных информационных систем.</w:t>
            </w:r>
          </w:p>
          <w:p>
            <w:pPr>
              <w:spacing w:after="20"/>
              <w:ind w:left="20"/>
              <w:jc w:val="both"/>
            </w:pPr>
            <w:r>
              <w:rPr>
                <w:rFonts w:ascii="Times New Roman"/>
                <w:b w:val="false"/>
                <w:i w:val="false"/>
                <w:color w:val="000000"/>
                <w:sz w:val="20"/>
              </w:rPr>
              <w:t>
2) на портал:</w:t>
            </w:r>
          </w:p>
          <w:p>
            <w:pPr>
              <w:spacing w:after="20"/>
              <w:ind w:left="20"/>
              <w:jc w:val="both"/>
            </w:pPr>
            <w:r>
              <w:rPr>
                <w:rFonts w:ascii="Times New Roman"/>
                <w:b w:val="false"/>
                <w:i w:val="false"/>
                <w:color w:val="000000"/>
                <w:sz w:val="20"/>
              </w:rPr>
              <w:t>
заявление не менее чем от двух собственников квартир, нежилых помещений, парковочных мест, нежилых помещений, парковочных мест, кладовок многоквартирного жилого дома, председателя объединения собственников имущества многоквартирного жилого дома или заявление местного исполнительного органа, или заявление заказчика (застройщика) многоквартирного жилого дома в форме электронного документа, удостоверенное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электронная копия правоустанавливающего документа на земельный участок (решение местных исполнительных органов) с приложением сканированной копии идентификационного документа на земельный участок;</w:t>
            </w:r>
          </w:p>
          <w:p>
            <w:pPr>
              <w:spacing w:after="20"/>
              <w:ind w:left="20"/>
              <w:jc w:val="both"/>
            </w:pPr>
            <w:r>
              <w:rPr>
                <w:rFonts w:ascii="Times New Roman"/>
                <w:b w:val="false"/>
                <w:i w:val="false"/>
                <w:color w:val="000000"/>
                <w:sz w:val="20"/>
              </w:rPr>
              <w:t>
электронная копия документа, подтверждающая оплату за регистрацию объекта кондоминиума, за исключением оплаты, произведенной через платежный шлюз "электронного правительства".</w:t>
            </w:r>
          </w:p>
          <w:p>
            <w:pPr>
              <w:spacing w:after="20"/>
              <w:ind w:left="20"/>
              <w:jc w:val="both"/>
            </w:pPr>
            <w:r>
              <w:rPr>
                <w:rFonts w:ascii="Times New Roman"/>
                <w:b w:val="false"/>
                <w:i w:val="false"/>
                <w:color w:val="000000"/>
                <w:sz w:val="20"/>
              </w:rPr>
              <w:t xml:space="preserve">
Для государственной регистрации объекта гидромелиоративного кондоминиума услугополучатели или их уполномоченные представители представляет услугодателю следующие документы: заявление о государственной регистрации объекта кондоминиума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паспорт гидромелиоративной системы водохозяйственного сооружения; схема гидромелиоративной системы с перечнем элементов гидромелиоративной системы и другого имущества, входящего в состав общей долевой собственности (каналы, сооружения для регулирования водоподачи, коллекторно-дренажные сети, скважины вертикального дренажа, электрические сети, электрическое оборудование, насосы, земли находящиеся под полосами отводов этих сооружений); список участников гидромелиоративного кондоминиума с приложением копий правоустанавливающих и идентификационных документов на все земельные участки, входящие в состав гидромелиоративного кондоминиума, и находящиеся в раздельной (индивидуальной) собственности (ином праве); документ, удостоверяющий личность услугополучателя (физического лица) или его уполномоченного представителя (требуется для идентификации), а также оригинал документа либо нотариально заверенная копия документа, подтверждающего полномочия представителя услугополучателя. При приеме документов оригинал документа, подтверждающего личность, после соответствующей проверки возвращается заявителю.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несоответствии субъектов и объектов правоотношений, вида права или обременения права на недвижимое имущество и иных объектов регистрации либо оснований их возникновения, изменения или прекращения требованиям законодательства;</w:t>
            </w:r>
          </w:p>
          <w:p>
            <w:pPr>
              <w:spacing w:after="20"/>
              <w:ind w:left="20"/>
              <w:jc w:val="both"/>
            </w:pPr>
            <w:r>
              <w:rPr>
                <w:rFonts w:ascii="Times New Roman"/>
                <w:b w:val="false"/>
                <w:i w:val="false"/>
                <w:color w:val="000000"/>
                <w:sz w:val="20"/>
              </w:rPr>
              <w:t>
2) если заявитель включен в перечень организаций и лиц, связанных с финансированием терроризма и экстремизма, в соответствии с законодательством Республики Казахстан;</w:t>
            </w:r>
          </w:p>
          <w:p>
            <w:pPr>
              <w:spacing w:after="20"/>
              <w:ind w:left="20"/>
              <w:jc w:val="both"/>
            </w:pPr>
            <w:r>
              <w:rPr>
                <w:rFonts w:ascii="Times New Roman"/>
                <w:b w:val="false"/>
                <w:i w:val="false"/>
                <w:color w:val="000000"/>
                <w:sz w:val="20"/>
              </w:rPr>
              <w:t>
3) при представлении заявителем неполного пакета документов, необходимых для государственной регистрации в соответствии с пунктом 8 Перечня государственной услуги, если необходимые документы не были представлены при приостановлении государственной регистрации;</w:t>
            </w:r>
          </w:p>
          <w:p>
            <w:pPr>
              <w:spacing w:after="20"/>
              <w:ind w:left="20"/>
              <w:jc w:val="both"/>
            </w:pPr>
            <w:r>
              <w:rPr>
                <w:rFonts w:ascii="Times New Roman"/>
                <w:b w:val="false"/>
                <w:i w:val="false"/>
                <w:color w:val="000000"/>
                <w:sz w:val="20"/>
              </w:rPr>
              <w:t>
4) при представлении на регистрацию документов, по форме и содержанию не соответствующих требованиям законодательства;</w:t>
            </w:r>
          </w:p>
          <w:p>
            <w:pPr>
              <w:spacing w:after="20"/>
              <w:ind w:left="20"/>
              <w:jc w:val="both"/>
            </w:pPr>
            <w:r>
              <w:rPr>
                <w:rFonts w:ascii="Times New Roman"/>
                <w:b w:val="false"/>
                <w:i w:val="false"/>
                <w:color w:val="000000"/>
                <w:sz w:val="20"/>
              </w:rPr>
              <w:t xml:space="preserve">
5) при наличии обременений, которые исключают государственную регистрацию права или иного объекта государственной регистрации, за исключением случаев, предусмотренных </w:t>
            </w:r>
            <w:r>
              <w:rPr>
                <w:rFonts w:ascii="Times New Roman"/>
                <w:b w:val="false"/>
                <w:i w:val="false"/>
                <w:color w:val="000000"/>
                <w:sz w:val="20"/>
              </w:rPr>
              <w:t>пунктом 1-1</w:t>
            </w:r>
            <w:r>
              <w:rPr>
                <w:rFonts w:ascii="Times New Roman"/>
                <w:b w:val="false"/>
                <w:i w:val="false"/>
                <w:color w:val="000000"/>
                <w:sz w:val="20"/>
              </w:rPr>
              <w:t xml:space="preserve"> статьи 31 Закона "О государственной регистрации прав на недвижимое имущество";</w:t>
            </w:r>
          </w:p>
          <w:p>
            <w:pPr>
              <w:spacing w:after="20"/>
              <w:ind w:left="20"/>
              <w:jc w:val="both"/>
            </w:pPr>
            <w:r>
              <w:rPr>
                <w:rFonts w:ascii="Times New Roman"/>
                <w:b w:val="false"/>
                <w:i w:val="false"/>
                <w:color w:val="000000"/>
                <w:sz w:val="20"/>
              </w:rPr>
              <w:t>
6) на основании судебного акта, вступившего в законную силу;</w:t>
            </w:r>
          </w:p>
          <w:p>
            <w:pPr>
              <w:spacing w:after="20"/>
              <w:ind w:left="20"/>
              <w:jc w:val="both"/>
            </w:pPr>
            <w:r>
              <w:rPr>
                <w:rFonts w:ascii="Times New Roman"/>
                <w:b w:val="false"/>
                <w:i w:val="false"/>
                <w:color w:val="000000"/>
                <w:sz w:val="20"/>
              </w:rPr>
              <w:t>
7) если в течение сроков приостановления регистрации не были устранены обстоятельства, явившиеся основаниями для приостановления;</w:t>
            </w:r>
          </w:p>
          <w:p>
            <w:pPr>
              <w:spacing w:after="20"/>
              <w:ind w:left="20"/>
              <w:jc w:val="both"/>
            </w:pPr>
            <w:r>
              <w:rPr>
                <w:rFonts w:ascii="Times New Roman"/>
                <w:b w:val="false"/>
                <w:i w:val="false"/>
                <w:color w:val="000000"/>
                <w:sz w:val="20"/>
              </w:rPr>
              <w:t>
8) при несоответствии ранее возникшего права законодательству, действовавшему в момент его возникновения, если объектом регистрации являются переход, изменение, прекращение или установление обременения в отношении такого права;</w:t>
            </w:r>
          </w:p>
          <w:p>
            <w:pPr>
              <w:spacing w:after="20"/>
              <w:ind w:left="20"/>
              <w:jc w:val="both"/>
            </w:pPr>
            <w:r>
              <w:rPr>
                <w:rFonts w:ascii="Times New Roman"/>
                <w:b w:val="false"/>
                <w:i w:val="false"/>
                <w:color w:val="000000"/>
                <w:sz w:val="20"/>
              </w:rPr>
              <w:t>
9) при обращении за регистрацией прав и обременений прав на недвижимое имущество, принадлежащее государственной исламской специальной финансовой компании, за исключением регистрации права собственности уполномоченного органа по государственному имуществу и права аренды уполномоченного органа соответствующей отрасли;</w:t>
            </w:r>
          </w:p>
          <w:p>
            <w:pPr>
              <w:spacing w:after="20"/>
              <w:ind w:left="20"/>
              <w:jc w:val="both"/>
            </w:pPr>
            <w:r>
              <w:rPr>
                <w:rFonts w:ascii="Times New Roman"/>
                <w:b w:val="false"/>
                <w:i w:val="false"/>
                <w:color w:val="000000"/>
                <w:sz w:val="20"/>
              </w:rPr>
              <w:t xml:space="preserve">
10)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8 800 080 777. Государственная услуга может оказываться третьим лицам. Электронный запрос третьих лиц исполняется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 Сервис цифровых документов доступен для пользователей, авторизованных в мобильном приложении и информационных системах пользователей.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просмотреть необходимый документ для дальнейшего пользования.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