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fbe49" w14:textId="c7fbe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рассмотрения заявок субъектов естественных монополий для определения механизма финансирования и (или) субсидирования части ставки вознаграждения по займу по проектам модернизации, строительства энергетической и коммунальной инфраструктуры</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4 сентября 2025 года № 88. Зарегистрирован в Министерстве юстиции Республики Казахстан 5 сентября 2025 года № 36799.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33-1)</w:t>
      </w:r>
      <w:r>
        <w:rPr>
          <w:rFonts w:ascii="Times New Roman"/>
          <w:b w:val="false"/>
          <w:i w:val="false"/>
          <w:color w:val="000000"/>
          <w:sz w:val="28"/>
        </w:rPr>
        <w:t xml:space="preserve"> статьи 8 Закона Республики Казахстан "О естественных монополиях"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рассмотрения заявок субъектов естественных монополий для определения механизма финансирования и (или) субсидирования части ставки вознаграждения по займу по проектам модернизации, строительства энергетической и коммунальной инфраструктуры.</w:t>
      </w:r>
    </w:p>
    <w:bookmarkEnd w:id="1"/>
    <w:bookmarkStart w:name="z6" w:id="2"/>
    <w:p>
      <w:pPr>
        <w:spacing w:after="0"/>
        <w:ind w:left="0"/>
        <w:jc w:val="both"/>
      </w:pPr>
      <w:r>
        <w:rPr>
          <w:rFonts w:ascii="Times New Roman"/>
          <w:b w:val="false"/>
          <w:i w:val="false"/>
          <w:color w:val="000000"/>
          <w:sz w:val="28"/>
        </w:rPr>
        <w:t>
      2.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 после дня его первого официального опубликования.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8"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Министр национальной экономики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"СОГЛАСОВАН"</w:t>
      </w:r>
    </w:p>
    <w:bookmarkEnd w:id="5"/>
    <w:p>
      <w:pPr>
        <w:spacing w:after="0"/>
        <w:ind w:left="0"/>
        <w:jc w:val="both"/>
      </w:pPr>
      <w:r>
        <w:rPr>
          <w:rFonts w:ascii="Times New Roman"/>
          <w:b w:val="false"/>
          <w:i w:val="false"/>
          <w:color w:val="000000"/>
          <w:sz w:val="28"/>
        </w:rPr>
        <w:t xml:space="preserve">Министерство промышленности </w:t>
      </w:r>
    </w:p>
    <w:p>
      <w:pPr>
        <w:spacing w:after="0"/>
        <w:ind w:left="0"/>
        <w:jc w:val="both"/>
      </w:pPr>
      <w:r>
        <w:rPr>
          <w:rFonts w:ascii="Times New Roman"/>
          <w:b w:val="false"/>
          <w:i w:val="false"/>
          <w:color w:val="000000"/>
          <w:sz w:val="28"/>
        </w:rPr>
        <w:t>и строительства Республики Казахстан</w:t>
      </w:r>
    </w:p>
    <w:p>
      <w:pPr>
        <w:spacing w:after="0"/>
        <w:ind w:left="0"/>
        <w:jc w:val="both"/>
      </w:pPr>
      <w:bookmarkStart w:name="z11" w:id="6"/>
      <w:r>
        <w:rPr>
          <w:rFonts w:ascii="Times New Roman"/>
          <w:b w:val="false"/>
          <w:i w:val="false"/>
          <w:color w:val="000000"/>
          <w:sz w:val="28"/>
        </w:rPr>
        <w:t>
      "СОГЛАСОВАН"</w:t>
      </w:r>
    </w:p>
    <w:bookmarkEnd w:id="6"/>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Заместитель Премьер-</w:t>
            </w:r>
            <w:r>
              <w:br/>
            </w:r>
            <w:r>
              <w:rPr>
                <w:rFonts w:ascii="Times New Roman"/>
                <w:b w:val="false"/>
                <w:i w:val="false"/>
                <w:color w:val="000000"/>
                <w:sz w:val="20"/>
              </w:rPr>
              <w:t>Министра–Министр</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сентября 2025 года № 88</w:t>
            </w:r>
          </w:p>
        </w:tc>
      </w:tr>
    </w:tbl>
    <w:bookmarkStart w:name="z13" w:id="7"/>
    <w:p>
      <w:pPr>
        <w:spacing w:after="0"/>
        <w:ind w:left="0"/>
        <w:jc w:val="left"/>
      </w:pPr>
      <w:r>
        <w:rPr>
          <w:rFonts w:ascii="Times New Roman"/>
          <w:b/>
          <w:i w:val="false"/>
          <w:color w:val="000000"/>
        </w:rPr>
        <w:t xml:space="preserve"> Правила рассмотрения заявок субъектов естественных монополий для определения механизма финансирования и (или) субсидирования части ставки вознаграждения по займу по проектам модернизации и строительства энергетической и коммунальной инфраструктуры</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рассмотрения заявок субъектов естественных монополий для определения механизма финансирования и (или) субсидирования части ставки вознаграждения по займу по проектам модернизации и строительства энергетической и коммунальной инфраструктуры (далее – Правила) разработаны в соответствии с </w:t>
      </w:r>
      <w:r>
        <w:rPr>
          <w:rFonts w:ascii="Times New Roman"/>
          <w:b w:val="false"/>
          <w:i w:val="false"/>
          <w:color w:val="000000"/>
          <w:sz w:val="28"/>
        </w:rPr>
        <w:t>подпунктом 33-1)</w:t>
      </w:r>
      <w:r>
        <w:rPr>
          <w:rFonts w:ascii="Times New Roman"/>
          <w:b w:val="false"/>
          <w:i w:val="false"/>
          <w:color w:val="000000"/>
          <w:sz w:val="28"/>
        </w:rPr>
        <w:t xml:space="preserve"> статьи 8 Закона Республики Казахстан "О естественных монополиях" и определяют порядок рассмотрения заявок субъектов естественных монополий для определения механизма финансирования и (или) субсидирования части ставки вознаграждения по займу по проектам модернизации и строительства энергетической и коммунальной инфраструктуры.</w:t>
      </w:r>
    </w:p>
    <w:bookmarkEnd w:id="9"/>
    <w:bookmarkStart w:name="z16" w:id="10"/>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0"/>
    <w:bookmarkStart w:name="z17" w:id="11"/>
    <w:p>
      <w:pPr>
        <w:spacing w:after="0"/>
        <w:ind w:left="0"/>
        <w:jc w:val="both"/>
      </w:pPr>
      <w:r>
        <w:rPr>
          <w:rFonts w:ascii="Times New Roman"/>
          <w:b w:val="false"/>
          <w:i w:val="false"/>
          <w:color w:val="000000"/>
          <w:sz w:val="28"/>
        </w:rPr>
        <w:t>
      1) финансовый оператор – акционерное общество "Национальный управляющий холдинг "Байтерек";</w:t>
      </w:r>
    </w:p>
    <w:bookmarkEnd w:id="11"/>
    <w:bookmarkStart w:name="z18" w:id="12"/>
    <w:p>
      <w:pPr>
        <w:spacing w:after="0"/>
        <w:ind w:left="0"/>
        <w:jc w:val="both"/>
      </w:pPr>
      <w:r>
        <w:rPr>
          <w:rFonts w:ascii="Times New Roman"/>
          <w:b w:val="false"/>
          <w:i w:val="false"/>
          <w:color w:val="000000"/>
          <w:sz w:val="28"/>
        </w:rPr>
        <w:t>
      2) технический оператор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12"/>
    <w:bookmarkStart w:name="z19" w:id="13"/>
    <w:p>
      <w:pPr>
        <w:spacing w:after="0"/>
        <w:ind w:left="0"/>
        <w:jc w:val="both"/>
      </w:pPr>
      <w:r>
        <w:rPr>
          <w:rFonts w:ascii="Times New Roman"/>
          <w:b w:val="false"/>
          <w:i w:val="false"/>
          <w:color w:val="000000"/>
          <w:sz w:val="28"/>
        </w:rPr>
        <w:t>
      3) тарифный регулятор – уполномоченный орган в сфере регулирования естественных монополий;</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в редакции приказа Заместителя Премьер-Министра – Министра национальной экономики РК от 02.06.2026 </w:t>
      </w:r>
      <w:r>
        <w:rPr>
          <w:rFonts w:ascii="Times New Roman"/>
          <w:b w:val="false"/>
          <w:i w:val="false"/>
          <w:color w:val="ff0000"/>
          <w:sz w:val="28"/>
        </w:rPr>
        <w:t>№ 64</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электронная платформа закупок национального проекта по модернизации энергетического и коммунального секторов (далее – электронная платформа) – информационная система, обеспечивающая проведение электронных закупок в рамках реализации национального проекта по модернизации энергетического и коммунального секторов, предоставляющая электронные услуги по обеспечению точки доступа для приобретения товаров, работ и услуг, заключения договора о строительстве "под ключ", а также отбора и мониторинга проектов в рамках реализации национального проекта по модернизации энергетического и коммунального секторов;</w:t>
      </w:r>
    </w:p>
    <w:bookmarkStart w:name="z21" w:id="14"/>
    <w:p>
      <w:pPr>
        <w:spacing w:after="0"/>
        <w:ind w:left="0"/>
        <w:jc w:val="both"/>
      </w:pPr>
      <w:r>
        <w:rPr>
          <w:rFonts w:ascii="Times New Roman"/>
          <w:b w:val="false"/>
          <w:i w:val="false"/>
          <w:color w:val="000000"/>
          <w:sz w:val="28"/>
        </w:rPr>
        <w:t>
      5) заем – денежные средства, предоставляемые заемщику за счет средств, привлеченных от банков второго уровня, международных финансовых организации, акционерного общества "Банк развития Казахстана" или путем размещения государственных ценных бумаг (облигаций) местными исполнительными органами, на условиях срочности, платности и возвратности;</w:t>
      </w:r>
    </w:p>
    <w:bookmarkEnd w:id="14"/>
    <w:bookmarkStart w:name="z22" w:id="15"/>
    <w:p>
      <w:pPr>
        <w:spacing w:after="0"/>
        <w:ind w:left="0"/>
        <w:jc w:val="both"/>
      </w:pPr>
      <w:r>
        <w:rPr>
          <w:rFonts w:ascii="Times New Roman"/>
          <w:b w:val="false"/>
          <w:i w:val="false"/>
          <w:color w:val="000000"/>
          <w:sz w:val="28"/>
        </w:rPr>
        <w:t>
      6) субъект естественной монополии – индивидуальный предприниматель или юридическое лицо, предоставляющее потребителям регулируемые услуги;</w:t>
      </w:r>
    </w:p>
    <w:bookmarkEnd w:id="15"/>
    <w:bookmarkStart w:name="z23" w:id="16"/>
    <w:p>
      <w:pPr>
        <w:spacing w:after="0"/>
        <w:ind w:left="0"/>
        <w:jc w:val="both"/>
      </w:pPr>
      <w:r>
        <w:rPr>
          <w:rFonts w:ascii="Times New Roman"/>
          <w:b w:val="false"/>
          <w:i w:val="false"/>
          <w:color w:val="000000"/>
          <w:sz w:val="28"/>
        </w:rPr>
        <w:t>
      7) финансовый институт – банк второго уровня и (или) международная финансовая организация, которые потенциально заинтересованы в участии в финансировании проектов;</w:t>
      </w:r>
    </w:p>
    <w:bookmarkEnd w:id="16"/>
    <w:bookmarkStart w:name="z24" w:id="17"/>
    <w:p>
      <w:pPr>
        <w:spacing w:after="0"/>
        <w:ind w:left="0"/>
        <w:jc w:val="both"/>
      </w:pPr>
      <w:r>
        <w:rPr>
          <w:rFonts w:ascii="Times New Roman"/>
          <w:b w:val="false"/>
          <w:i w:val="false"/>
          <w:color w:val="000000"/>
          <w:sz w:val="28"/>
        </w:rPr>
        <w:t>
      8) дочерние организации финансового оператора – акционерное общество "Банк развития Казахстана", акционерное общество "Казахстанская Жилищная Компания", акционерное общество "Жилищный строительный сберегательный банк Отбасы банк", акционерное общество "Экспортно-кредитное агентство Казахстана", акционерное общество "Qazaqstan Investment Corporation", акционерное общество "Фонд развития предпринимательства "Даму", акционерное общество "Аграрная кредитная корпорация";</w:t>
      </w:r>
    </w:p>
    <w:bookmarkEnd w:id="17"/>
    <w:bookmarkStart w:name="z25" w:id="18"/>
    <w:p>
      <w:pPr>
        <w:spacing w:after="0"/>
        <w:ind w:left="0"/>
        <w:jc w:val="both"/>
      </w:pPr>
      <w:r>
        <w:rPr>
          <w:rFonts w:ascii="Times New Roman"/>
          <w:b w:val="false"/>
          <w:i w:val="false"/>
          <w:color w:val="000000"/>
          <w:sz w:val="28"/>
        </w:rPr>
        <w:t>
      9) проект – проект модернизации и строительства энергетической и коммунальной инфраструктуры в рамках реализации национального проекта по модернизации энергетического и коммунального секторов;</w:t>
      </w:r>
    </w:p>
    <w:bookmarkEnd w:id="18"/>
    <w:bookmarkStart w:name="z26" w:id="19"/>
    <w:p>
      <w:pPr>
        <w:spacing w:after="0"/>
        <w:ind w:left="0"/>
        <w:jc w:val="both"/>
      </w:pPr>
      <w:r>
        <w:rPr>
          <w:rFonts w:ascii="Times New Roman"/>
          <w:b w:val="false"/>
          <w:i w:val="false"/>
          <w:color w:val="000000"/>
          <w:sz w:val="28"/>
        </w:rPr>
        <w:t>
      10) заявка – предварительная заявка субъекта естественной монополий и местных исполнительных органов по проектам, участвующим в модернизации и строительстве энергетической и коммунальной инфраструктуры, в рамках реализации национального проекта по модернизации энергетического и коммунального секторов;</w:t>
      </w:r>
    </w:p>
    <w:bookmarkEnd w:id="19"/>
    <w:bookmarkStart w:name="z27" w:id="20"/>
    <w:p>
      <w:pPr>
        <w:spacing w:after="0"/>
        <w:ind w:left="0"/>
        <w:jc w:val="both"/>
      </w:pPr>
      <w:r>
        <w:rPr>
          <w:rFonts w:ascii="Times New Roman"/>
          <w:b w:val="false"/>
          <w:i w:val="false"/>
          <w:color w:val="000000"/>
          <w:sz w:val="28"/>
        </w:rPr>
        <w:t>
      11) уполномоченный государственный орган в соответствующей сфере – центральный исполнительный орган, осуществляющий руководство в сфере жилищных отношений и жилищно-коммунального хозяйства и/или центральный исполнительный орган, осуществляющий руководство и межотраслевую координацию в области теплоэнергетики, и государственным органом, осуществляющим руководство в области электроэнергетики.</w:t>
      </w:r>
    </w:p>
    <w:bookmarkEnd w:id="20"/>
    <w:bookmarkStart w:name="z28" w:id="21"/>
    <w:p>
      <w:pPr>
        <w:spacing w:after="0"/>
        <w:ind w:left="0"/>
        <w:jc w:val="left"/>
      </w:pPr>
      <w:r>
        <w:rPr>
          <w:rFonts w:ascii="Times New Roman"/>
          <w:b/>
          <w:i w:val="false"/>
          <w:color w:val="000000"/>
        </w:rPr>
        <w:t xml:space="preserve"> Глава 2. Порядок рассмотрения заявок субъектов естественных монополий для определения механизма финансирования и (или) субсидирования части ставки вознаграждения по займу по проектам модернизации, строительства энергетической и коммунальной инфраструктуры</w:t>
      </w:r>
    </w:p>
    <w:bookmarkEnd w:id="21"/>
    <w:bookmarkStart w:name="z29" w:id="22"/>
    <w:p>
      <w:pPr>
        <w:spacing w:after="0"/>
        <w:ind w:left="0"/>
        <w:jc w:val="both"/>
      </w:pPr>
      <w:r>
        <w:rPr>
          <w:rFonts w:ascii="Times New Roman"/>
          <w:b w:val="false"/>
          <w:i w:val="false"/>
          <w:color w:val="000000"/>
          <w:sz w:val="28"/>
        </w:rPr>
        <w:t xml:space="preserve">
      3. Финансовый оператор в соответствии с настоящими Правилами рассматривает заявки на корректность заполнения и полноту прилагаемых документов согласно Правилам планирования, отбора, согласования проектов, мониторинга процессов проектирования, строительства и (или) эксплуатации в сфере жилищных отношений и жилищно-коммунального хозяйства в рамках реализации национального проекта по модернизации энергетического и коммунального секторов,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12 августа 2025 года № 297 (зарегистрирован в Реестре государственной регистрации нормативных правовых актов за № 36606) (далее – Правила планирования, отбора, согласования проектов, мониторинга процессов проектирования).</w:t>
      </w:r>
    </w:p>
    <w:bookmarkEnd w:id="22"/>
    <w:bookmarkStart w:name="z30" w:id="23"/>
    <w:p>
      <w:pPr>
        <w:spacing w:after="0"/>
        <w:ind w:left="0"/>
        <w:jc w:val="both"/>
      </w:pPr>
      <w:r>
        <w:rPr>
          <w:rFonts w:ascii="Times New Roman"/>
          <w:b w:val="false"/>
          <w:i w:val="false"/>
          <w:color w:val="000000"/>
          <w:sz w:val="28"/>
        </w:rPr>
        <w:t>
      4. Рассмотрение заявки финансовым оператором осуществляется после получения на электронной платформе согласования заявки техническим оператором, а также получения заключения и определения предварительного уровня тарифа тарифным регулятором в соответствии с Правилами планирования, отбора, согласования проектов, мониторинга процессов проектирования в рамках реализации национального проекта по модернизации энергетического и коммунального секторов.</w:t>
      </w:r>
    </w:p>
    <w:bookmarkEnd w:id="23"/>
    <w:bookmarkStart w:name="z31" w:id="24"/>
    <w:p>
      <w:pPr>
        <w:spacing w:after="0"/>
        <w:ind w:left="0"/>
        <w:jc w:val="both"/>
      </w:pPr>
      <w:r>
        <w:rPr>
          <w:rFonts w:ascii="Times New Roman"/>
          <w:b w:val="false"/>
          <w:i w:val="false"/>
          <w:color w:val="000000"/>
          <w:sz w:val="28"/>
        </w:rPr>
        <w:t>
      5. В случае, если на момент подачи заявки электронная платформа не введена в эксплуатацию либо временно не функционирует, подача заявки с приложением подтверждающих документов осуществляется посредством единого портала поддержки бизнеса (https://bgov.kz).</w:t>
      </w:r>
    </w:p>
    <w:bookmarkEnd w:id="24"/>
    <w:bookmarkStart w:name="z32" w:id="25"/>
    <w:p>
      <w:pPr>
        <w:spacing w:after="0"/>
        <w:ind w:left="0"/>
        <w:jc w:val="both"/>
      </w:pPr>
      <w:r>
        <w:rPr>
          <w:rFonts w:ascii="Times New Roman"/>
          <w:b w:val="false"/>
          <w:i w:val="false"/>
          <w:color w:val="000000"/>
          <w:sz w:val="28"/>
        </w:rPr>
        <w:t>
      6. Рассмотрение заявки финансовым оператором осуществляется в течение 7 (семи) рабочих дней.</w:t>
      </w:r>
    </w:p>
    <w:bookmarkEnd w:id="25"/>
    <w:bookmarkStart w:name="z33" w:id="26"/>
    <w:p>
      <w:pPr>
        <w:spacing w:after="0"/>
        <w:ind w:left="0"/>
        <w:jc w:val="both"/>
      </w:pPr>
      <w:r>
        <w:rPr>
          <w:rFonts w:ascii="Times New Roman"/>
          <w:b w:val="false"/>
          <w:i w:val="false"/>
          <w:color w:val="000000"/>
          <w:sz w:val="28"/>
        </w:rPr>
        <w:t>
      Днем подачи заявки субъектом естественных монополий считается рабочий день ее поступления к финансовому оператору.</w:t>
      </w:r>
    </w:p>
    <w:bookmarkEnd w:id="26"/>
    <w:bookmarkStart w:name="z34" w:id="27"/>
    <w:p>
      <w:pPr>
        <w:spacing w:after="0"/>
        <w:ind w:left="0"/>
        <w:jc w:val="both"/>
      </w:pPr>
      <w:r>
        <w:rPr>
          <w:rFonts w:ascii="Times New Roman"/>
          <w:b w:val="false"/>
          <w:i w:val="false"/>
          <w:color w:val="000000"/>
          <w:sz w:val="28"/>
        </w:rPr>
        <w:t xml:space="preserve">
      7. Финансовый оператор определяет механизм финансирования в соответствии с Национальным проектом "Модернизация энергетического и коммунального секторов",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декабря 2024 года № 1102 (далее – Национальный проект) на основании технических, финансовых и юридических критериев, установленных в соответствии с пунктами 8, 9 и 10 настоящих Правил.</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Финансовыми критериями для рассмотрения заявки в части определения показателей рентабельности и финансовой устойчивости являются:</w:t>
      </w:r>
    </w:p>
    <w:bookmarkEnd w:id="28"/>
    <w:bookmarkStart w:name="z160" w:id="29"/>
    <w:p>
      <w:pPr>
        <w:spacing w:after="0"/>
        <w:ind w:left="0"/>
        <w:jc w:val="both"/>
      </w:pPr>
      <w:r>
        <w:rPr>
          <w:rFonts w:ascii="Times New Roman"/>
          <w:b w:val="false"/>
          <w:i w:val="false"/>
          <w:color w:val="000000"/>
          <w:sz w:val="28"/>
        </w:rPr>
        <w:t>
      1) отсутствие признаков банкротства, в том числе отсутствие арестов на банковских счетах, отсутствие установленных ограничений на выезд из Республики Казахстан, а также иные ограничительные меры, свидетельствующие о неплатҰжеспособности;</w:t>
      </w:r>
    </w:p>
    <w:bookmarkEnd w:id="29"/>
    <w:bookmarkStart w:name="z161" w:id="30"/>
    <w:p>
      <w:pPr>
        <w:spacing w:after="0"/>
        <w:ind w:left="0"/>
        <w:jc w:val="both"/>
      </w:pPr>
      <w:r>
        <w:rPr>
          <w:rFonts w:ascii="Times New Roman"/>
          <w:b w:val="false"/>
          <w:i w:val="false"/>
          <w:color w:val="000000"/>
          <w:sz w:val="28"/>
        </w:rPr>
        <w:t>
      2) наличие/отсутствие просроченных обязательств перед государственным бюджетом или кредиторами;</w:t>
      </w:r>
    </w:p>
    <w:bookmarkEnd w:id="30"/>
    <w:bookmarkStart w:name="z162" w:id="31"/>
    <w:p>
      <w:pPr>
        <w:spacing w:after="0"/>
        <w:ind w:left="0"/>
        <w:jc w:val="both"/>
      </w:pPr>
      <w:r>
        <w:rPr>
          <w:rFonts w:ascii="Times New Roman"/>
          <w:b w:val="false"/>
          <w:i w:val="false"/>
          <w:color w:val="000000"/>
          <w:sz w:val="28"/>
        </w:rPr>
        <w:t>
      3) показатели операционного денежного потока выше или равно нулю; эффективности компании – показатели, характеризующие эффективность осуществления основной деятельности компании (такие как EBITDA, операционная прибыль (EBIT), денежные средства от операционной деятельности и иные показатели), перечень которых не является исчерпывающим и может дополняться с учҰтом специфики деятельности компании;</w:t>
      </w:r>
    </w:p>
    <w:bookmarkEnd w:id="31"/>
    <w:bookmarkStart w:name="z163" w:id="32"/>
    <w:p>
      <w:pPr>
        <w:spacing w:after="0"/>
        <w:ind w:left="0"/>
        <w:jc w:val="both"/>
      </w:pPr>
      <w:r>
        <w:rPr>
          <w:rFonts w:ascii="Times New Roman"/>
          <w:b w:val="false"/>
          <w:i w:val="false"/>
          <w:color w:val="000000"/>
          <w:sz w:val="28"/>
        </w:rPr>
        <w:t>
      4) анализ динамики финансовых показателей, включая как положительные, так и отрицательные изменения, с принятием соответствующего решения на основании предоставленных данных.</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33"/>
    <w:p>
      <w:pPr>
        <w:spacing w:after="0"/>
        <w:ind w:left="0"/>
        <w:jc w:val="both"/>
      </w:pPr>
      <w:r>
        <w:rPr>
          <w:rFonts w:ascii="Times New Roman"/>
          <w:b w:val="false"/>
          <w:i w:val="false"/>
          <w:color w:val="000000"/>
          <w:sz w:val="28"/>
        </w:rPr>
        <w:t>
      10. Юридическим критерием является регистрация юридического лица субъекта естественных монополий на территории Республики Казахстан.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При несоответствии проекта критериям, установленным пунктами 8, 9 и 10 настоящих Правил, проект возвращается на доработку посредством электронной платформы с перечнем рекомендаций необходимых корректировок.</w:t>
      </w:r>
    </w:p>
    <w:bookmarkStart w:name="z47" w:id="34"/>
    <w:p>
      <w:pPr>
        <w:spacing w:after="0"/>
        <w:ind w:left="0"/>
        <w:jc w:val="both"/>
      </w:pPr>
      <w:r>
        <w:rPr>
          <w:rFonts w:ascii="Times New Roman"/>
          <w:b w:val="false"/>
          <w:i w:val="false"/>
          <w:color w:val="000000"/>
          <w:sz w:val="28"/>
        </w:rPr>
        <w:t>
      Срок рассмотрения проекта после внесения субъектом естественных монополий соответствующих корректировок начинается с даты его повторного направления посредством электронной платформы.</w:t>
      </w:r>
    </w:p>
    <w:bookmarkEnd w:id="34"/>
    <w:bookmarkStart w:name="z48" w:id="35"/>
    <w:p>
      <w:pPr>
        <w:spacing w:after="0"/>
        <w:ind w:left="0"/>
        <w:jc w:val="both"/>
      </w:pPr>
      <w:r>
        <w:rPr>
          <w:rFonts w:ascii="Times New Roman"/>
          <w:b w:val="false"/>
          <w:i w:val="false"/>
          <w:color w:val="000000"/>
          <w:sz w:val="28"/>
        </w:rPr>
        <w:t>
      12. В случае отсутствия возможности корректировки, финансовый оператор направляет уведомление о повторном рассмотрении уполномоченным органом совместно с тарифным регулятором, местным исполнительным органом и субъектом естественных монополий для определения иных нерыночных источников финансирования, включая рекомендации по улучшению (оздоровлению) финансовых показателей проекта.</w:t>
      </w:r>
    </w:p>
    <w:bookmarkEnd w:id="35"/>
    <w:bookmarkStart w:name="z49" w:id="36"/>
    <w:p>
      <w:pPr>
        <w:spacing w:after="0"/>
        <w:ind w:left="0"/>
        <w:jc w:val="both"/>
      </w:pPr>
      <w:r>
        <w:rPr>
          <w:rFonts w:ascii="Times New Roman"/>
          <w:b w:val="false"/>
          <w:i w:val="false"/>
          <w:color w:val="000000"/>
          <w:sz w:val="28"/>
        </w:rPr>
        <w:t>
      13. Срок рассмотрения прерывается в случае необходимости получения предварительной позиции от дочерних организаций финансового оператора и финансовых институтов о заинтересованности и/или возможности финансирования проекта посредством электронной платформы или иного способа взаимодействия.</w:t>
      </w:r>
    </w:p>
    <w:bookmarkEnd w:id="36"/>
    <w:bookmarkStart w:name="z50" w:id="37"/>
    <w:p>
      <w:pPr>
        <w:spacing w:after="0"/>
        <w:ind w:left="0"/>
        <w:jc w:val="both"/>
      </w:pPr>
      <w:r>
        <w:rPr>
          <w:rFonts w:ascii="Times New Roman"/>
          <w:b w:val="false"/>
          <w:i w:val="false"/>
          <w:color w:val="000000"/>
          <w:sz w:val="28"/>
        </w:rPr>
        <w:t>
      Финансовый оператор в течение 2 (двух) рабочих дней с момента поступления заявки субъекта естественной монополии с прилагаемыми документами, и в случае, если это необходимо для определения конкретного механизма финансирования, направляет письма в финансовые институты для получения их предварительных позиций. Финансовые институты в течении 10 (рабочих дней с момента поступления письма финансового оператора представить свои предварительные позиции о потенциальной возможности финансировать проект.</w:t>
      </w:r>
    </w:p>
    <w:bookmarkEnd w:id="37"/>
    <w:bookmarkStart w:name="z51" w:id="38"/>
    <w:p>
      <w:pPr>
        <w:spacing w:after="0"/>
        <w:ind w:left="0"/>
        <w:jc w:val="both"/>
      </w:pPr>
      <w:r>
        <w:rPr>
          <w:rFonts w:ascii="Times New Roman"/>
          <w:b w:val="false"/>
          <w:i w:val="false"/>
          <w:color w:val="000000"/>
          <w:sz w:val="28"/>
        </w:rPr>
        <w:t>
      14. Финансовый оператор в рамках рассмотрения заявки одновременно направляет в дочерние организации финансового оператора, банки второго уровня и международные финансовые институты информацию о предполагаемом механизме финансирования в соответствии внутренними нормативными документами и/или нормативными правовыми актами, на предмет:</w:t>
      </w:r>
    </w:p>
    <w:bookmarkEnd w:id="38"/>
    <w:bookmarkStart w:name="z52" w:id="39"/>
    <w:p>
      <w:pPr>
        <w:spacing w:after="0"/>
        <w:ind w:left="0"/>
        <w:jc w:val="both"/>
      </w:pPr>
      <w:r>
        <w:rPr>
          <w:rFonts w:ascii="Times New Roman"/>
          <w:b w:val="false"/>
          <w:i w:val="false"/>
          <w:color w:val="000000"/>
          <w:sz w:val="28"/>
        </w:rPr>
        <w:t>
      1) индикативного рассмотрения проекта со стороны акционерного общества "Банк Развития Казахстана", банков второго уровня и международных финансовых институтов в случае механизма прямого финансирования;</w:t>
      </w:r>
    </w:p>
    <w:bookmarkEnd w:id="39"/>
    <w:bookmarkStart w:name="z53" w:id="40"/>
    <w:p>
      <w:pPr>
        <w:spacing w:after="0"/>
        <w:ind w:left="0"/>
        <w:jc w:val="both"/>
      </w:pPr>
      <w:r>
        <w:rPr>
          <w:rFonts w:ascii="Times New Roman"/>
          <w:b w:val="false"/>
          <w:i w:val="false"/>
          <w:color w:val="000000"/>
          <w:sz w:val="28"/>
        </w:rPr>
        <w:t>
      2) проверки долгового лимита местного исполнительного органа со стороны акционерного общества "Казахстанская Жилищная Компания" в случае механизма финансирования через выпуск государственных ценных бумаг.</w:t>
      </w:r>
    </w:p>
    <w:bookmarkEnd w:id="40"/>
    <w:bookmarkStart w:name="z54" w:id="41"/>
    <w:p>
      <w:pPr>
        <w:spacing w:after="0"/>
        <w:ind w:left="0"/>
        <w:jc w:val="both"/>
      </w:pPr>
      <w:r>
        <w:rPr>
          <w:rFonts w:ascii="Times New Roman"/>
          <w:b w:val="false"/>
          <w:i w:val="false"/>
          <w:color w:val="000000"/>
          <w:sz w:val="28"/>
        </w:rPr>
        <w:t>
      15. В случаях, когда лимиты долга местных исполнительных органов не позволяют финансировать проект, финансовый оператор дает субъекту естественной монополии рекомендацию об определении иных нерыночных механизмов финансирования или иных нерыночных источников финансирования с уведомлением посредством электронной платформы уполномоченного органа, тарифного регулятора и местного исполнительного органа.</w:t>
      </w:r>
    </w:p>
    <w:bookmarkEnd w:id="41"/>
    <w:bookmarkStart w:name="z55" w:id="42"/>
    <w:p>
      <w:pPr>
        <w:spacing w:after="0"/>
        <w:ind w:left="0"/>
        <w:jc w:val="both"/>
      </w:pPr>
      <w:r>
        <w:rPr>
          <w:rFonts w:ascii="Times New Roman"/>
          <w:b w:val="false"/>
          <w:i w:val="false"/>
          <w:color w:val="000000"/>
          <w:sz w:val="28"/>
        </w:rPr>
        <w:t>
      16. Повторная заявка субъекта естественных монополий, поступившая в течение одного года с новым проектом строительства не рассматривается финансовым оператором при условии, что в документы не вносились изменения и (или) дополнения до поступления новой заявки.</w:t>
      </w:r>
    </w:p>
    <w:bookmarkEnd w:id="42"/>
    <w:bookmarkStart w:name="z56" w:id="43"/>
    <w:p>
      <w:pPr>
        <w:spacing w:after="0"/>
        <w:ind w:left="0"/>
        <w:jc w:val="both"/>
      </w:pPr>
      <w:r>
        <w:rPr>
          <w:rFonts w:ascii="Times New Roman"/>
          <w:b w:val="false"/>
          <w:i w:val="false"/>
          <w:color w:val="000000"/>
          <w:sz w:val="28"/>
        </w:rPr>
        <w:t>
      17. Заявки субъектов естественных монополий, не имеющие государственной доли участия, стоимость проектов которых составляет менее 3 (трех) миллиардов тенге, при соответствии критериям, установленным пунктами 8, 9 и 10 настоящих Правил, автоматически направляются на рассмотрение проектного офиса при финансовом операторе для определения возможности финансирования со стороны банков второго уровня.</w:t>
      </w:r>
    </w:p>
    <w:bookmarkEnd w:id="43"/>
    <w:bookmarkStart w:name="z57" w:id="44"/>
    <w:p>
      <w:pPr>
        <w:spacing w:after="0"/>
        <w:ind w:left="0"/>
        <w:jc w:val="both"/>
      </w:pPr>
      <w:r>
        <w:rPr>
          <w:rFonts w:ascii="Times New Roman"/>
          <w:b w:val="false"/>
          <w:i w:val="false"/>
          <w:color w:val="000000"/>
          <w:sz w:val="28"/>
        </w:rPr>
        <w:t>
      18. Дальнейшая реализация проекта определяется в зависимости от механизма финансирования и (или) субсидирования части ставки вознаграждения по займу.</w:t>
      </w:r>
    </w:p>
    <w:bookmarkEnd w:id="44"/>
    <w:bookmarkStart w:name="z58" w:id="45"/>
    <w:p>
      <w:pPr>
        <w:spacing w:after="0"/>
        <w:ind w:left="0"/>
        <w:jc w:val="both"/>
      </w:pPr>
      <w:r>
        <w:rPr>
          <w:rFonts w:ascii="Times New Roman"/>
          <w:b w:val="false"/>
          <w:i w:val="false"/>
          <w:color w:val="000000"/>
          <w:sz w:val="28"/>
        </w:rPr>
        <w:t>
      При принятии решения по итогам определения финансовым оператором механизма финансирования, финансовым оператором также указывается на потенциальную возможность и условия применения субсидирования части ставки вознаграждения по проекту.</w:t>
      </w:r>
    </w:p>
    <w:bookmarkEnd w:id="45"/>
    <w:bookmarkStart w:name="z59" w:id="46"/>
    <w:p>
      <w:pPr>
        <w:spacing w:after="0"/>
        <w:ind w:left="0"/>
        <w:jc w:val="both"/>
      </w:pPr>
      <w:r>
        <w:rPr>
          <w:rFonts w:ascii="Times New Roman"/>
          <w:b w:val="false"/>
          <w:i w:val="false"/>
          <w:color w:val="000000"/>
          <w:sz w:val="28"/>
        </w:rPr>
        <w:t>
      19. По результатам рассмотрения соответствующей заявки, дочерней организацией финансового оператора, банком второго уровня или международным финансовым институтом, направляется уведомление финансовому оператору и субъекту естественных монополии в зависимости от выбранного механизма финансирования согласно условиям Национального проекта.</w:t>
      </w:r>
    </w:p>
    <w:bookmarkEnd w:id="46"/>
    <w:bookmarkStart w:name="z60" w:id="47"/>
    <w:p>
      <w:pPr>
        <w:spacing w:after="0"/>
        <w:ind w:left="0"/>
        <w:jc w:val="both"/>
      </w:pPr>
      <w:r>
        <w:rPr>
          <w:rFonts w:ascii="Times New Roman"/>
          <w:b w:val="false"/>
          <w:i w:val="false"/>
          <w:color w:val="000000"/>
          <w:sz w:val="28"/>
        </w:rPr>
        <w:t>
      20. После завершения всех процедур и определения финансовым оператором механизма финансирования, субъект естественных монополий и местный исполнительный орган уведомляются о выбранном механизме финансирования в соответствии с Национальным проектом посредством электронной платформы.</w:t>
      </w:r>
    </w:p>
    <w:bookmarkEnd w:id="47"/>
    <w:bookmarkStart w:name="z61" w:id="48"/>
    <w:p>
      <w:pPr>
        <w:spacing w:after="0"/>
        <w:ind w:left="0"/>
        <w:jc w:val="both"/>
      </w:pPr>
      <w:r>
        <w:rPr>
          <w:rFonts w:ascii="Times New Roman"/>
          <w:b w:val="false"/>
          <w:i w:val="false"/>
          <w:color w:val="000000"/>
          <w:sz w:val="28"/>
        </w:rPr>
        <w:t>
      Письменное заключение финансового оператора размещается на электронной платформе не позднее одного рабочего дня с момента его подписания.</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