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c81d3" w14:textId="79c8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Министра сельского хозяйства Республики Казахстан от 3 сентября 2025 года № 273. Зарегистрирован в Министерстве юстиции Республики Казахстан 4 сентября 2025 года № 36795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17320)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сельского хозяйства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Агентство по защите и</w:t>
      </w:r>
    </w:p>
    <w:p>
      <w:pPr>
        <w:spacing w:after="0"/>
        <w:ind w:left="0"/>
        <w:jc w:val="both"/>
      </w:pPr>
      <w:r>
        <w:rPr>
          <w:rFonts w:ascii="Times New Roman"/>
          <w:b w:val="false"/>
          <w:i w:val="false"/>
          <w:color w:val="000000"/>
          <w:sz w:val="28"/>
        </w:rPr>
        <w:t>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 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сентября 2025 года № 273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22" w:id="14"/>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tblGrid>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Свеклоуборочный комбайн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 от 80 лошадиных сил (включительно) на гусеничном ходу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мощностью от 201 лошадиных сил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(трехрядный)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планировщик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скрепер-планировщик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роторная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с емкостью ковша до 1,8 кубических метра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 (мобильная зерносушилка) от 49-145 тонн в сутки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10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10,1-25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25,1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15,0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16000 килограммов**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менее 2,2 кубических метра)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авиационные системы (БАС) сельскохозяйственные многофункциональные (для распыления пестицидов, разбрасывания семян, удобрений и других)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вентиляторный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с шириной захвата 20 – 100 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шириной захвата 20 – 100 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Шарнирная сетка для ограждения сельскохозяйственных земель от потравы сайгаками*****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Столбы (металлические или бетонные) для фиксации шарнирной сетки для ограждения сельскохозяйственных земель от потравы сайгаками*****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Примечание:</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приобретения автомобиля для перевозки грузов сельскохозяйственного назначения необходим наличие земельной площади не менее 120 гектаров;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позиции 32, 33 субсидируются за счет средств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техника, приобретенная для закладки маточников многолетних насаждений плодово-ягодных культур и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максимальная допустимая стоимость ограждения для пастбищ не должна превышать 16 миллионов тенге на 1000 гектаров.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позиции 46, 47 субсидируются за счет средств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Диаметр проволоки сетки не менее 2,5 миллиметра, высота сетки не менее 1,6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Размеры ячейки сетки: ширина не более 100 миллиметров, высота не более 75 миллиметров.</w:t>
            </w:r>
          </w:p>
          <w:p>
            <w:pPr>
              <w:spacing w:after="20"/>
              <w:ind w:left="20"/>
              <w:jc w:val="both"/>
            </w:pPr>
            <w:r>
              <w:rPr>
                <w:rFonts w:ascii="Times New Roman"/>
                <w:b w:val="false"/>
                <w:i w:val="false"/>
                <w:color w:val="000000"/>
                <w:sz w:val="20"/>
              </w:rPr>
              <w:t>
Расстояние между столбами не более 3-5 метров.</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приоритетных сельскохозяйственных машин и оборудования" *</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приоритетных сельскохозяйственных машин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84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85 до 129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140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141 до 160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161 до 180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181 до 300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до 430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до 539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мощностью до 129 лошадиных сил (включительно)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150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151 до 220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221 до 279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до 430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201 - 400 лошадиных 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 с двигателем PowerTech™, системой телематики JDLink™,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539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249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250 до 299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359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360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299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449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450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449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 с двигателем PowerTech™ и системой телематики JDLink™, компонентами пропускного тракта с технологией Dura Line™.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с двигателем PowerTech™ и (или) системой телематики JDLink™, с рядковыми элементами по сбору хлопка PRO12 или MR16 или MR12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мощностью от 501 лошадиных сил (включительно)</w:t>
            </w:r>
          </w:p>
          <w:bookmarkEnd w:id="16"/>
          <w:p>
            <w:pPr>
              <w:spacing w:after="20"/>
              <w:ind w:left="20"/>
              <w:jc w:val="both"/>
            </w:pPr>
            <w:r>
              <w:rPr>
                <w:rFonts w:ascii="Times New Roman"/>
                <w:b w:val="false"/>
                <w:i w:val="false"/>
                <w:color w:val="000000"/>
                <w:sz w:val="20"/>
              </w:rPr>
              <w:t>
(с двигателем PowerTech™ и системой телематики JDLink™, рядковые элементы по сбору хлопка MR16 и cо встроенной автоматической камерой прессования хлопка и упаковки в рулоны, покрытые пленкой TamaWrap+™ и системой контроля процесса тюкования Cotton Pro (HID, Cotton Pro), с монитором управления CommandCenter™ G5Plus, функцией автоматического вождения по рядкам AutoTrac™ RowSense™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сеялка/посевной комплекс: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со стойками для сошников TruPosition™ или сошниками ConservaPak™ или сошниками ProSeries™, система контроля забивания семяпроводов RelativeFlow™. Бункер для семян из пластика, конвейерный тип транспортера, высевающий аппарат с дозирующими высевающими катушками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пневматическая сеялка /посевной комплекс: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зерновая сеялка с двухдисковым сошником или сошником ProSeries™, комбинированным бункером для семян и удобрений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точного высева с высевающей секцией MaxEmerge или ExactEmerge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 рядов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рядов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тонн в час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20,1-40 тонн в час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40,1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предварительной очистки зерна до 150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очистки зерна барабанного типа до 60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40 до 60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60 до 120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ленточный, производительность от 100-до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скребковый, производительность от 100-до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зерновая, производительность от 50-до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Аэродинамическая сортировальная машина, производительность от 10 до 30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пневмосортировальный, производительность до 10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конвейер производительность 60 тонн/час длина 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Триерный блок, производительность от 8 до 12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2,1-4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4,1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культиватор со стойками TruPosition™ и тандемные колҰса для копирования рельефа Walk-Over, и (или) с регулировкой глубины в одной точке Single Point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8,9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с мотовилом с композитными пальцами и/или c системой автоматической скорости мотовила Dial-a-Speed и/или с системой копирования рельефа Active Header Control/HydroFlex/Active Header Float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7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7,1 до 8,9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до 12,9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от13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для комбайна с контролем управления высоты - cистема копирования рельефа HCU/AHC, пластиковыми пальцами ленты подборщика, системой автоматической скорости ленты Dial-a-Speed и/или системой амортизации FieldGlide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 с технологией контроля глубины TruSet™ и (или) с регулировкой глубины в одной точке Single Рoint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снегопах, валкообразователь, валкоукладчик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 совместимый с тракторами оборудованных функцией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 с фиксированной камерой прессования, с системой предварительного измельчения MaxiCut HC 2,2 м или со стандартным подборщиком 1,79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 с системой регулировки смещения, централизованная система смазки узловязателей; очистной вентилятор узловязателя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зеленых кормов (для силоса, сенажа): с упаковкой в пленку и внесением консервантов B-Wrap, с системой взвешивания и измерением влажности и система контроля параметров работы СommandCenter, уникальная система обвязки CoverEdge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4-5,9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косилки с навигационной системой AutoTrac™, системой автоматической скорости мотовила Dial-a-Speed, системой передвижения столов и автоматическим реверсированием лент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системой распыления раствора с функциями AutoFill и AutoDiluter системой стабилизации штанги BoomTrac™ или TerrainControl Pro™/TerrainCommand Pro™, дисплей управления системами CommandCenter™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с двигателем PowerTech™ и системой телематики JDLink™, система стабилизации штанги BoomTrac™ или TerrainControl Pro™ / Terrain Command Pro™, навигационной системой AutoTrac™, дисплей управления системами Command Center™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до 3000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3001 до 5999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6000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смешивающий комплекс для средств защиты растений, производительность насоса от 200 до 2000 литров в минуту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Смешивающий комплекс для средств защиты растений, производительность насоса от 200 до 2000 литров в минуту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 машина для внесения жидких удобрений, объем до 8001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разбрасыватель удобрений с двигателем PowerTech™ и системой телематики JDLink™, навигационной системой AutoTrac™, дисплей управления системами CommandCenter™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Примечание:</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в максимальной допустимой стоимости для расчета субсидий на зерноуборочные комбайны предусмотрена стоимость жатки и (или) платформа подборщика. В случае приобретения зерноуборочного комбайна без жатки и (или) платформа подборщика допускается расчет субсидии, без учета стоимости жатки и (или) платформа подборщика.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"Приобретение навесной и прицепной сельскохозяйственной техники"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w:t>
            </w:r>
          </w:p>
          <w:bookmarkEnd w:id="18"/>
          <w:p>
            <w:pPr>
              <w:spacing w:after="20"/>
              <w:ind w:left="20"/>
              <w:jc w:val="both"/>
            </w:pP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для посева зерна и зернобобовых культур: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3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3.1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6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6.1-12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12.1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4,0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4,1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6,0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12,1-20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6-9 метров: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9,1 метра: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 косилки дисковая: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8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8,1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до 4,0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от 4,1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Примечание:</w:t>
            </w:r>
          </w:p>
          <w:bookmarkEnd w:id="19"/>
          <w:p>
            <w:pPr>
              <w:spacing w:after="20"/>
              <w:ind w:left="20"/>
              <w:jc w:val="both"/>
            </w:pPr>
            <w:r>
              <w:rPr>
                <w:rFonts w:ascii="Times New Roman"/>
                <w:b w:val="false"/>
                <w:i w:val="false"/>
                <w:color w:val="000000"/>
                <w:sz w:val="20"/>
              </w:rPr>
              <w:t>
*субсидирование осуществляется по технике, машинам и оборудованию, приобретенным до 25 мая 2024 года (включительно).</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 с системой взвешивания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75 лошадиных сил</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115 лошадиных сил с системой взвешивания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 с системой взвешивания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сеялка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счетчик семян</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измельчитель</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Примечание:</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Субсидируются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Законом Республики Казахстан "О семеноводстве" (далее – Закон о семеноводстве).</w:t>
            </w:r>
          </w:p>
          <w:p>
            <w:pPr>
              <w:spacing w:after="20"/>
              <w:ind w:left="20"/>
              <w:jc w:val="both"/>
            </w:pPr>
            <w:r>
              <w:rPr>
                <w:rFonts w:ascii="Times New Roman"/>
                <w:b w:val="false"/>
                <w:i w:val="false"/>
                <w:color w:val="000000"/>
                <w:sz w:val="20"/>
              </w:rPr>
              <w:t>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оборудования,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Примечание: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Законом о семеноводстве;</w:t>
            </w:r>
          </w:p>
          <w:bookmarkEnd w:id="21"/>
          <w:p>
            <w:pPr>
              <w:spacing w:after="20"/>
              <w:ind w:left="20"/>
              <w:jc w:val="both"/>
            </w:pPr>
            <w:r>
              <w:rPr>
                <w:rFonts w:ascii="Times New Roman"/>
                <w:b w:val="false"/>
                <w:i w:val="false"/>
                <w:color w:val="000000"/>
                <w:sz w:val="20"/>
              </w:rPr>
              <w:t>
** приобретение оборудования при необходимости.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пустынных и полупустынных зон – не более 375 метров</w:t>
            </w:r>
          </w:p>
        </w:tc>
        <w:tc>
          <w:tcPr>
            <w:tcW w:w="0" w:type="auto"/>
            <w:gridSpan w:val="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Примечание:</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обводнения одного колодца составляет до 2 000 гектаров 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инвестора не менее 50 условных голов крупного рогатого скота на один колодец на момент подачи заявки на субсидирование.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строительстве трубчатого колодца (скважины) диаметр трубы должен быть не менее 168 миллиметров и толщина стены трубы не менее 5 миллиметров, за исключением колодцев построенных до 1 января 2024 года.</w:t>
            </w:r>
          </w:p>
          <w:p>
            <w:pPr>
              <w:spacing w:after="20"/>
              <w:ind w:left="20"/>
              <w:jc w:val="both"/>
            </w:pPr>
            <w:r>
              <w:rPr>
                <w:rFonts w:ascii="Times New Roman"/>
                <w:b w:val="false"/>
                <w:i w:val="false"/>
                <w:color w:val="000000"/>
                <w:sz w:val="20"/>
              </w:rPr>
              <w:t>
Обязательным пунктом в договоре является гарантия подрядчика по обеспечению в течение года дебета воды, указанного в паспорте объекта.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200 000</w:t>
            </w:r>
          </w:p>
          <w:bookmarkEnd w:id="23"/>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20 000</w:t>
            </w:r>
          </w:p>
          <w:bookmarkEnd w:id="24"/>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1-единица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(при необходимости), ограждения внутренних проходов, приспособления для чесания коров, оборудования вентиляции (при необходимости), водоснабжения, система для сепарации жидкого навоза (при необходимости), лечебно-санитарным пунктом; роботизированная доильная установка или доильный зал, оснащенный автоматизированной доильной установкой (карусель, параллель, елочка, тандем) и/или молокопровод, танкер охладитель молока, система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молочно-товарной фермы от 50 голов маточного поголовья: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коз молочного направления мощностью от 600 голов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 Стоимость инвестиционного проекта определяется согласно проектно-сметной документации: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сутки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в сутки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Примечание:</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на 1 мясоперерабатывающее предприятие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техники/машин/ оборудования, тенге</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сельскохозяйственных кооперативов, заготовительных организаций, молокоприемных пунктов: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лабораторного оборудования для сельскохозяйственных кооперативов, заготовительных организаций, молокоприемных пунктов и молокоперерабатывающих предприятий: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до 10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от 10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производства сухого молока и/или молочной сыворотки для расширения действующих молокоперерабатывающих предприятий (вальцовая сушилка, дробление или распылительная установка)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Примечание:</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на 1 молокоперерабатывающий завод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тенге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(на 1 единицу)</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(двухосный автоприцеп с раскрывающимся кузовом, сортировочная сетка, пресс, экспресс оборудования для определения тонины, штабелер).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переработке шкур и шерсти сельскохозяйственных животных"</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Предприятие по первичной переработке шерсти от 350 килограммов /час</w:t>
            </w:r>
          </w:p>
          <w:bookmarkEnd w:id="27"/>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Предприятие по глубокой переработке шерсти от 1000 килограммов в сутки</w:t>
            </w:r>
          </w:p>
          <w:bookmarkEnd w:id="28"/>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Предприятие по первичной переработке шкур КРС от 600 штук в сутки, МРС – 2000 штук в сутки.</w:t>
            </w:r>
          </w:p>
          <w:bookmarkEnd w:id="29"/>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Предприятие по глубокой переработке шкур КРС от 2 000 штук в сутки, МРС – 5 000 штук в сутки.</w:t>
            </w:r>
          </w:p>
          <w:bookmarkEnd w:id="30"/>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c долей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(при необходимости),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1. Покрытие из пленки/поликарбоната:</w:t>
            </w:r>
          </w:p>
          <w:bookmarkEnd w:id="31"/>
          <w:p>
            <w:pPr>
              <w:spacing w:after="20"/>
              <w:ind w:left="20"/>
              <w:jc w:val="both"/>
            </w:pPr>
            <w:r>
              <w:rPr>
                <w:rFonts w:ascii="Times New Roman"/>
                <w:b w:val="false"/>
                <w:i w:val="false"/>
                <w:color w:val="000000"/>
                <w:sz w:val="20"/>
              </w:rPr>
              <w:t>
1.1. Строительство.</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288 966 000</w:t>
            </w:r>
          </w:p>
          <w:bookmarkEnd w:id="32"/>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1.2.Расширение.</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144 483 000</w:t>
            </w:r>
          </w:p>
          <w:bookmarkEnd w:id="33"/>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Строительство</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540 845 000</w:t>
            </w:r>
          </w:p>
          <w:bookmarkEnd w:id="34"/>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5"/>
          <w:p>
            <w:pPr>
              <w:spacing w:after="20"/>
              <w:ind w:left="20"/>
              <w:jc w:val="both"/>
            </w:pPr>
            <w:r>
              <w:rPr>
                <w:rFonts w:ascii="Times New Roman"/>
                <w:b w:val="false"/>
                <w:i w:val="false"/>
                <w:color w:val="000000"/>
                <w:sz w:val="20"/>
              </w:rPr>
              <w:t>
270 422 500</w:t>
            </w:r>
          </w:p>
          <w:bookmarkEnd w:id="35"/>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Примечание:</w:t>
            </w:r>
          </w:p>
          <w:bookmarkEnd w:id="36"/>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с количеством саженцев от 2000 до 5714 штук на 1 гектар***;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с применением системы капельного орошения; с использованием защитной сетки (противоградовая, солнцезащитная) из материала, не содержащего токсичных элементов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Саженцы, просубсидированные в рамках настоящих Правил, не субсидируются в рамках Правил субсидирования повышения урожайности и качества продукции растениеводства (далее – Правила субсидирования повышения урожайности), утвержденных приказом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(при необходимости); с применением системы капельного орошения (за исключением яблони сорта Апорт); с количеством саженцев на 1 гектар***: плодовых семечковых культур – от 500 до 2000 штук; плодовых косточковых культур – от 200 до 2000 штук; орехоплодных культур от 100 до 500 штук; виноград – от 1150 до 2667 штук; ягодных культур – до 40 000 штук на 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7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7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7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1 847 000 (винограда);</w:t>
            </w:r>
          </w:p>
          <w:bookmarkEnd w:id="37"/>
          <w:p>
            <w:pPr>
              <w:spacing w:after="20"/>
              <w:ind w:left="20"/>
              <w:jc w:val="both"/>
            </w:pPr>
            <w:r>
              <w:rPr>
                <w:rFonts w:ascii="Times New Roman"/>
                <w:b w:val="false"/>
                <w:i w:val="false"/>
                <w:color w:val="000000"/>
                <w:sz w:val="20"/>
              </w:rPr>
              <w:t>
4 500 000 (ягодных культур).</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8"/>
          <w:p>
            <w:pPr>
              <w:spacing w:after="20"/>
              <w:ind w:left="20"/>
              <w:jc w:val="both"/>
            </w:pPr>
            <w:r>
              <w:rPr>
                <w:rFonts w:ascii="Times New Roman"/>
                <w:b w:val="false"/>
                <w:i w:val="false"/>
                <w:color w:val="000000"/>
                <w:sz w:val="20"/>
              </w:rPr>
              <w:t>
4 887 000 (плодовых семечковых культур);</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8 668 000 (плодовых косточковых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1 841 000 (орехоплодных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3 945 000 (виноград);</w:t>
            </w:r>
          </w:p>
          <w:p>
            <w:pPr>
              <w:spacing w:after="20"/>
              <w:ind w:left="20"/>
              <w:jc w:val="both"/>
            </w:pPr>
            <w:r>
              <w:rPr>
                <w:rFonts w:ascii="Times New Roman"/>
                <w:b w:val="false"/>
                <w:i w:val="false"/>
                <w:color w:val="000000"/>
                <w:sz w:val="20"/>
              </w:rPr>
              <w:t>
4 622 000 (ягодных культур);</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шпалерной системы включающую в себя шпалеры (столбы для опоры) и элементов крепления саженца к шпалере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 Саженцы, просубсидированные в рамках настоящих Правил, не субсидируются в рамках Правил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5 тысяч тонн в год"</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В случае, если у предприятия имеется комбикормовый завод, и/или мобильный комбикормовый завод, то нет необходимости в строительстве кормоцеха.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 мощностью от 1000 свиноматок"</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строительстве/расширении при модернизации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1 700 000</w:t>
            </w:r>
          </w:p>
          <w:bookmarkEnd w:id="39"/>
          <w:p>
            <w:pPr>
              <w:spacing w:after="20"/>
              <w:ind w:left="20"/>
              <w:jc w:val="both"/>
            </w:pPr>
            <w:r>
              <w:rPr>
                <w:rFonts w:ascii="Times New Roman"/>
                <w:b w:val="false"/>
                <w:i w:val="false"/>
                <w:color w:val="000000"/>
                <w:sz w:val="20"/>
              </w:rPr>
              <w:t>
850 000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270 000 000</w:t>
            </w:r>
          </w:p>
          <w:bookmarkEnd w:id="40"/>
          <w:p>
            <w:pPr>
              <w:spacing w:after="20"/>
              <w:ind w:left="20"/>
              <w:jc w:val="both"/>
            </w:pPr>
            <w:r>
              <w:rPr>
                <w:rFonts w:ascii="Times New Roman"/>
                <w:b w:val="false"/>
                <w:i w:val="false"/>
                <w:color w:val="000000"/>
                <w:sz w:val="20"/>
              </w:rPr>
              <w:t>
135 000 000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в птицеводстве яичного и мясного направления"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родительского стада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ветеринарных объектов согласно пунктам 17.1.2 и 17.1.3 СНиП РК 3.02-11 "Животноводческие, птицеводческие и звероводческие здания и помещения" предусмотренных проектно-сметной документацией</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Здание убойного цеха</w:t>
            </w:r>
          </w:p>
          <w:bookmarkEnd w:id="41"/>
          <w:p>
            <w:pPr>
              <w:spacing w:after="20"/>
              <w:ind w:left="20"/>
              <w:jc w:val="both"/>
            </w:pPr>
            <w:r>
              <w:rPr>
                <w:rFonts w:ascii="Times New Roman"/>
                <w:b w:val="false"/>
                <w:i w:val="false"/>
                <w:color w:val="000000"/>
                <w:sz w:val="20"/>
              </w:rPr>
              <w:t>
(является не обязательным в случае наличия действующего объекта у инвестора (услугополучателя) или наличия заключенного договора аутсорсинга по убою птицы)</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Инкубаторий</w:t>
            </w:r>
          </w:p>
          <w:bookmarkEnd w:id="42"/>
          <w:p>
            <w:pPr>
              <w:spacing w:after="20"/>
              <w:ind w:left="20"/>
              <w:jc w:val="both"/>
            </w:pPr>
            <w:r>
              <w:rPr>
                <w:rFonts w:ascii="Times New Roman"/>
                <w:b w:val="false"/>
                <w:i w:val="false"/>
                <w:color w:val="000000"/>
                <w:sz w:val="20"/>
              </w:rPr>
              <w:t>
(является не обязательным в случае специализации репродуктора на производстве и реализации инкубационного яйца)</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яйце 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"Строительство и расширение зернохранилищ"</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расширение картофеле-овощехранилищ от 1 000 тонн"</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3"/>
          <w:p>
            <w:pPr>
              <w:spacing w:after="20"/>
              <w:ind w:left="20"/>
              <w:jc w:val="both"/>
            </w:pPr>
            <w:r>
              <w:rPr>
                <w:rFonts w:ascii="Times New Roman"/>
                <w:b w:val="false"/>
                <w:i w:val="false"/>
                <w:color w:val="000000"/>
                <w:sz w:val="20"/>
              </w:rPr>
              <w:t>
Доля возмещения инвестиционных вложений:</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с холодильным оборудованием – 50 %;</w:t>
            </w:r>
          </w:p>
          <w:p>
            <w:pPr>
              <w:spacing w:after="20"/>
              <w:ind w:left="20"/>
              <w:jc w:val="both"/>
            </w:pPr>
            <w:r>
              <w:rPr>
                <w:rFonts w:ascii="Times New Roman"/>
                <w:b w:val="false"/>
                <w:i w:val="false"/>
                <w:color w:val="000000"/>
                <w:sz w:val="20"/>
              </w:rPr>
              <w:t>
- с вентиляционным оборудованием – 40 %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4"/>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грузоподъемностью от 20 тонн:</w:t>
            </w:r>
          </w:p>
          <w:bookmarkEnd w:id="44"/>
          <w:p>
            <w:pPr>
              <w:spacing w:after="20"/>
              <w:ind w:left="20"/>
              <w:jc w:val="both"/>
            </w:pPr>
            <w:r>
              <w:rPr>
                <w:rFonts w:ascii="Times New Roman"/>
                <w:b w:val="false"/>
                <w:i w:val="false"/>
                <w:color w:val="000000"/>
                <w:sz w:val="20"/>
              </w:rPr>
              <w:t>
седельный тягач*</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5"/>
          <w:p>
            <w:pPr>
              <w:spacing w:after="20"/>
              <w:ind w:left="20"/>
              <w:jc w:val="both"/>
            </w:pPr>
            <w:r>
              <w:rPr>
                <w:rFonts w:ascii="Times New Roman"/>
                <w:b w:val="false"/>
                <w:i w:val="false"/>
                <w:color w:val="000000"/>
                <w:sz w:val="20"/>
              </w:rPr>
              <w:t>
*Доля возмещения инвестиционных вложений при комбинированном климат-контроле (с холодильным и вентиляционными оборудованиями) составляет 40 %.</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**субсидируется по норме 3 единицы на 1500 тонн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***Вместимость одного контейнера 200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и расширение фруктохранилищ от 1000 тонн *"</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gridSpan w:val="5"/>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gridSpan w:val="5"/>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6"/>
          <w:p>
            <w:pPr>
              <w:spacing w:after="20"/>
              <w:ind w:left="20"/>
              <w:jc w:val="both"/>
            </w:pPr>
            <w:r>
              <w:rPr>
                <w:rFonts w:ascii="Times New Roman"/>
                <w:b w:val="false"/>
                <w:i w:val="false"/>
                <w:color w:val="000000"/>
                <w:sz w:val="20"/>
              </w:rPr>
              <w:t>
грузоподъемностью от 20 тонн:</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седельный тягач</w:t>
            </w:r>
          </w:p>
          <w:p>
            <w:pPr>
              <w:spacing w:after="20"/>
              <w:ind w:left="20"/>
              <w:jc w:val="both"/>
            </w:pPr>
            <w:r>
              <w:rPr>
                <w:rFonts w:ascii="Times New Roman"/>
                <w:b w:val="false"/>
                <w:i w:val="false"/>
                <w:color w:val="000000"/>
                <w:sz w:val="20"/>
              </w:rPr>
              <w:t>
полуприцеп-рефрижератор</w:t>
            </w:r>
          </w:p>
        </w:tc>
        <w:tc>
          <w:tcPr>
            <w:tcW w:w="0" w:type="auto"/>
            <w:gridSpan w:val="5"/>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7"/>
          <w:p>
            <w:pPr>
              <w:spacing w:after="20"/>
              <w:ind w:left="20"/>
              <w:jc w:val="both"/>
            </w:pPr>
            <w:r>
              <w:rPr>
                <w:rFonts w:ascii="Times New Roman"/>
                <w:b w:val="false"/>
                <w:i w:val="false"/>
                <w:color w:val="000000"/>
                <w:sz w:val="20"/>
              </w:rPr>
              <w:t>
52 841 071</w:t>
            </w:r>
          </w:p>
          <w:bookmarkEnd w:id="47"/>
          <w:p>
            <w:pPr>
              <w:spacing w:after="20"/>
              <w:ind w:left="20"/>
              <w:jc w:val="both"/>
            </w:pPr>
            <w:r>
              <w:rPr>
                <w:rFonts w:ascii="Times New Roman"/>
                <w:b w:val="false"/>
                <w:i w:val="false"/>
                <w:color w:val="000000"/>
                <w:sz w:val="20"/>
              </w:rPr>
              <w:t>
29 145 000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8"/>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Технологии хранения фруктохранилищ при необходимости допускается комбинировать: с регулируемой газовой средой, также без регулируемой газовой средой. При расчете, учитывается общая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субсидировании в расчет принимается количество транспортных средств, находящихся на балансе на дату субсидирования и мощности фруктохранилища. Субсидируется не более 8 рефрижераторов на 1000 тонн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вместимость одного контейнера 300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w:t>
            </w:r>
          </w:p>
          <w:p>
            <w:pPr>
              <w:spacing w:after="20"/>
              <w:ind w:left="20"/>
              <w:jc w:val="both"/>
            </w:pPr>
            <w:r>
              <w:rPr>
                <w:rFonts w:ascii="Times New Roman"/>
                <w:b w:val="false"/>
                <w:i w:val="false"/>
                <w:color w:val="000000"/>
                <w:sz w:val="20"/>
              </w:rPr>
              <w:t>
***** сортировочно-упаковочное оборудование субсидируется из расчета 1 тонн/час на 800 тонн хранения. 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и расширение предприятия по переработке плодов/овощей/бахчевых культур"</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"Строительство предприятия по переработке картофеля"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мощностью от 50 000 тонн в год по сырью с производственным комплексом и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и расширение предприятия по производству масложировой продукции"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w:t>
            </w:r>
          </w:p>
          <w:bookmarkEnd w:id="49"/>
          <w:p>
            <w:pPr>
              <w:spacing w:after="20"/>
              <w:ind w:left="20"/>
              <w:jc w:val="both"/>
            </w:pPr>
            <w:r>
              <w:rPr>
                <w:rFonts w:ascii="Times New Roman"/>
                <w:b w:val="false"/>
                <w:i w:val="false"/>
                <w:color w:val="000000"/>
                <w:sz w:val="20"/>
              </w:rPr>
              <w:t>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сельскохозяйственным кооперативом предприятия мощностью переработки масличных культур от 100 тонн в сутки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7"/>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7"/>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0"/>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В рамках настоящего паспорта проекта субсидируется не более одной заявки от одного сельскохозяйственного кооператива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года исключается возмещение части инвестиционных вложений по инвестиционным проектам на создание новых производственных мощностей.</w:t>
            </w:r>
          </w:p>
          <w:p>
            <w:pPr>
              <w:spacing w:after="20"/>
              <w:ind w:left="20"/>
              <w:jc w:val="both"/>
            </w:pPr>
            <w:r>
              <w:rPr>
                <w:rFonts w:ascii="Times New Roman"/>
                <w:b w:val="false"/>
                <w:i w:val="false"/>
                <w:color w:val="000000"/>
                <w:sz w:val="20"/>
              </w:rPr>
              <w:t>
При этом, по инвестиционным проектам, введенным в эксплуатацию и получившим инвестиционные субсидии по первому траншу до января 2026 года, допускается получение инвестиционных субсидий по второму траншу после 1 января 2026 года согласно подпункту 2 пункта 16 настоящих Правил.</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продуктов переработки зерновых культур"</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по производству макарон без глютена мощностью от 0,2 тонны в час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27.1 "Создание и расширение предприятия по глубокой переработке растениеводческой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1"/>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высокой технологичной сложности* – 50 % (при этом доля возмещения инвестиционных вложений для производства продукции, не отнесенной к продуктам высокой технологичной сложности в полном технологическом цикле – 25 %);</w:t>
            </w:r>
          </w:p>
          <w:bookmarkEnd w:id="51"/>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не отнесенной к продуктам высокой технологичной сложности –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2"/>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w:t>
            </w:r>
          </w:p>
          <w:bookmarkEnd w:id="52"/>
          <w:p>
            <w:pPr>
              <w:spacing w:after="20"/>
              <w:ind w:left="20"/>
              <w:jc w:val="both"/>
            </w:pPr>
            <w:r>
              <w:rPr>
                <w:rFonts w:ascii="Times New Roman"/>
                <w:b w:val="false"/>
                <w:i w:val="false"/>
                <w:color w:val="000000"/>
                <w:sz w:val="20"/>
              </w:rPr>
              <w:t>
Условия для расчета субсидий: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зерновых культур (за исключением переработки зерна для производства товарной муки), мощностью от 170 тонн сырья в сутки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масличных культур, мощностью от 7 тонн/сутки по основной готовой продукции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3"/>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*Субсидирование осуществляется при производстве следующей продукции высокой технологической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Крахмалы модифицированные;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и сироп из глюкозы;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Фруктоза и сироп из фруктозы;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Мальтоза и мальтозный сироп;</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Мальтодекстрин;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Концентраты белковые (протеиновые);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Соевый изолят;</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Кислота лимонная;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Лецитин и фосфолипиды растительные;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Аминосоединения, включающие кислородсодержащую функциональную группу, кроме лизина и глутаминовой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 кислота глутаминовая и их соли.</w:t>
            </w:r>
          </w:p>
          <w:p>
            <w:pPr>
              <w:spacing w:after="20"/>
              <w:ind w:left="20"/>
              <w:jc w:val="both"/>
            </w:pPr>
            <w:r>
              <w:rPr>
                <w:rFonts w:ascii="Times New Roman"/>
                <w:b w:val="false"/>
                <w:i w:val="false"/>
                <w:color w:val="000000"/>
                <w:sz w:val="20"/>
              </w:rPr>
              <w:t>
Перечень продукции высокой технологичной сложности составлен в соответствии с Методикой оценки уровня передела товара для включения в перечень приоритетных товаров, утвержденной приказом Министра индустрии и инфраструктурного развития Республики Казахстан от 20 мая 2022 года № 273 (зарегистрирован в Реестре государственной регистрации нормативных правовых актов № 28242).</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сахара"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и техника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техники 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хлебобулочных и/или кондитерских изделий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ремонтного молодняка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45 000 яиц/час</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переработке отходов убойного</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"Приобретение оборудования для агрохимических лабораторий по анализу почв"</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"Строительство, расширение завода по переработке куриного яйца"</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4"/>
          <w:p>
            <w:pPr>
              <w:spacing w:after="20"/>
              <w:ind w:left="20"/>
              <w:jc w:val="both"/>
            </w:pPr>
            <w:r>
              <w:rPr>
                <w:rFonts w:ascii="Times New Roman"/>
                <w:b w:val="false"/>
                <w:i w:val="false"/>
                <w:color w:val="000000"/>
                <w:sz w:val="20"/>
              </w:rPr>
              <w:t>
Предприятие по переработке яйца с технологическим оборудованием, зданиями и сооружениями, инфраструктурой и оборудованием систем жизнедеятельности, с наличием необходимой техникой и оборудования для обслуживания объекта.</w:t>
            </w:r>
          </w:p>
          <w:bookmarkEnd w:id="54"/>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в сутки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