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9816" w14:textId="73c9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августа 2025 года № 270. Зарегистрирован в Министерстве юстиции Республики Казахстан 3 сентября 2025 года № 36788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под № 19753)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"2) оператор по зерновому рынку – национальная компания в сфере агропромышленного комплекса,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 и фуражным фондом;";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4"/>
    <w:bookmarkStart w:name="z11" w:id="5"/>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5"/>
    <w:bookmarkStart w:name="z12" w:id="6"/>
    <w:p>
      <w:pPr>
        <w:spacing w:after="0"/>
        <w:ind w:left="0"/>
        <w:jc w:val="both"/>
      </w:pPr>
      <w:r>
        <w:rPr>
          <w:rFonts w:ascii="Times New Roman"/>
          <w:b w:val="false"/>
          <w:i w:val="false"/>
          <w:color w:val="000000"/>
          <w:sz w:val="28"/>
        </w:rPr>
        <w:t>
      В случае оплаты эмитентом, в том числе являющегося оператором по зерновому рынку,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6"/>
    <w:bookmarkStart w:name="z13" w:id="7"/>
    <w:p>
      <w:pPr>
        <w:spacing w:after="0"/>
        <w:ind w:left="0"/>
        <w:jc w:val="both"/>
      </w:pPr>
      <w:r>
        <w:rPr>
          <w:rFonts w:ascii="Times New Roman"/>
          <w:b w:val="false"/>
          <w:i w:val="false"/>
          <w:color w:val="000000"/>
          <w:sz w:val="28"/>
        </w:rPr>
        <w:t>
      Рабочий орган при наличии средств субсидий перечисляет авансовым платежом 100 % (сто процентов) купонного вознаграждения по облигациям, срок выпуска которых составляет до 18 (восемнадцать) месяцев включительно, на банковский счет эмитента, в том числе являющегося оператором по зерновому рынку, подлежащего уплате по облигациям, согласно заключенному соглашению.</w:t>
      </w:r>
    </w:p>
    <w:bookmarkEnd w:id="7"/>
    <w:bookmarkStart w:name="z14" w:id="8"/>
    <w:p>
      <w:pPr>
        <w:spacing w:after="0"/>
        <w:ind w:left="0"/>
        <w:jc w:val="both"/>
      </w:pPr>
      <w:r>
        <w:rPr>
          <w:rFonts w:ascii="Times New Roman"/>
          <w:b w:val="false"/>
          <w:i w:val="false"/>
          <w:color w:val="000000"/>
          <w:sz w:val="28"/>
        </w:rPr>
        <w:t>
      Допускается погашение эмитентом купонного вознаграждения по облигациям авансом.</w:t>
      </w:r>
    </w:p>
    <w:bookmarkEnd w:id="8"/>
    <w:bookmarkStart w:name="z15" w:id="9"/>
    <w:p>
      <w:pPr>
        <w:spacing w:after="0"/>
        <w:ind w:left="0"/>
        <w:jc w:val="both"/>
      </w:pPr>
      <w:r>
        <w:rPr>
          <w:rFonts w:ascii="Times New Roman"/>
          <w:b w:val="false"/>
          <w:i w:val="false"/>
          <w:color w:val="000000"/>
          <w:sz w:val="28"/>
        </w:rPr>
        <w:t>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либо при наличии в республиканском бюджете на соответствующий финансовый год средств на субсидирование купонного вознаграждения, осуществляет финансирование заемщиков в виде кредитов по льготной ставке вознаграждения за счет краткосрочных/среднесрочных облигаций путем заключения договоров займа на общую сумму, на которую предусмотрены субсидии в размере 100 % (сто процентов) купонного вознаграждения.</w:t>
      </w:r>
    </w:p>
    <w:bookmarkEnd w:id="9"/>
    <w:bookmarkStart w:name="z16" w:id="10"/>
    <w:p>
      <w:pPr>
        <w:spacing w:after="0"/>
        <w:ind w:left="0"/>
        <w:jc w:val="both"/>
      </w:pPr>
      <w:r>
        <w:rPr>
          <w:rFonts w:ascii="Times New Roman"/>
          <w:b w:val="false"/>
          <w:i w:val="false"/>
          <w:color w:val="000000"/>
          <w:sz w:val="28"/>
        </w:rPr>
        <w:t>
      За счет указанных краткосрочных/среднесрочных облигаций допускается:</w:t>
      </w:r>
    </w:p>
    <w:bookmarkEnd w:id="10"/>
    <w:bookmarkStart w:name="z17" w:id="11"/>
    <w:p>
      <w:pPr>
        <w:spacing w:after="0"/>
        <w:ind w:left="0"/>
        <w:jc w:val="both"/>
      </w:pPr>
      <w:r>
        <w:rPr>
          <w:rFonts w:ascii="Times New Roman"/>
          <w:b w:val="false"/>
          <w:i w:val="false"/>
          <w:color w:val="000000"/>
          <w:sz w:val="28"/>
        </w:rPr>
        <w:t>
      замещение ранее выданных кредитных средств на финансирование проектов агропромышленного комплекса по договорам займа, заключенным с 1 июля 2025 года;</w:t>
      </w:r>
    </w:p>
    <w:bookmarkEnd w:id="11"/>
    <w:bookmarkStart w:name="z18" w:id="12"/>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bookmarkEnd w:id="12"/>
    <w:bookmarkStart w:name="z19" w:id="13"/>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bookmarkEnd w:id="13"/>
    <w:bookmarkStart w:name="z20" w:id="14"/>
    <w:p>
      <w:pPr>
        <w:spacing w:after="0"/>
        <w:ind w:left="0"/>
        <w:jc w:val="both"/>
      </w:pPr>
      <w:r>
        <w:rPr>
          <w:rFonts w:ascii="Times New Roman"/>
          <w:b w:val="false"/>
          <w:i w:val="false"/>
          <w:color w:val="000000"/>
          <w:sz w:val="28"/>
        </w:rPr>
        <w:t>
      Допускается предоставление (открытие) эмитентом кредитной линии заемщику на срок, не превышающий 36 (тридцать шесть) месяцев. При этом срок кредита, предоставляемого в рамках кредитной линии, не должен превышать срока обращения облигаций.".</w:t>
      </w:r>
    </w:p>
    <w:bookmarkEnd w:id="14"/>
    <w:bookmarkStart w:name="z21" w:id="15"/>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15"/>
    <w:bookmarkStart w:name="z22"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3"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7"/>
    <w:bookmarkStart w:name="z24"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8"/>
    <w:bookmarkStart w:name="z25"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7"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