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d8ec" w14:textId="679d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48. Зарегистрировано в Министерстве юстиции Республики Казахстан 29 августа 2025 года № 36741.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преамбулы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(далее – Закон о банках) в целях совершенствования системы предоставления банковских услуг, определения порядка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населения, а также особенности предоставления услуг лицам с инвалидностью и маломобильным группам населения с участием доверенного лица.";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своем интернет-ресурсе банк обеспечивает размещение калькулятора для расчета ежемесячных платежей по банковскому займу с использованием методов дифференцированных и аннуитетных платежей, а также дополнительных методов погашения займа в соответствии с внутренними правилами банка.";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"8-3. До принятия решения о предоставлении банковского займа банк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Правил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- физического лица", зарегистрированным в Реестре государственной регистрации нормативных правовых актов под № 19774.";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заявлению клиента после полного погашения задолженности по займу банк безвозмездно в срок не более 3 (трех) рабочих дней со дня получения заявления представляет в письменной форме справку об отсутствии задолженности.";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Банк изменяет в сторону увеличения тарифы по платежам и переводам физических лиц после уведомления клиента не менее чем за 3 (три) месяца до предполагаемой даты изменения тарифов.";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 сроки рассмотрения банком обращений клиентов, возникающих в процессе предоставления банковских услуг";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Срок рассмотрения обращения клиента составляет не более 15 (пятнадцати) рабочих дней со дня поступления обращения в банк.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фактических обстоятельств срок рассмотрения обращения продлевается на 15 (пятнадцать) рабочих дней, имеющих значение для правильного рассмотрения обращений. Клиент извещается о продлении срока в течение 3 (трех) рабочих дней со дня принятия решения о продлении.";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шестой и седьмой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предусмотренных подпунктом 1-1) и (или) подпунктом 3) части первой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заемщиком – физическим лицом: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согласии с предложенными изменениями в условия договора банковского займа, заключенного с заемщиком – физическим лицом, указанным в подпункте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финансовых услуг и поведенческого надзора в установленном законодательством Республики Казахстан порядке обеспечить: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 абзацев одиннадцатого и двенадцатого пункта 1 настоящего постановления, которые вводятся в действие со 2 июля 2026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