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810bd" w14:textId="d381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нормативные правовые акты Республики Казахстан по вопросам развития финансового рынка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28 августа 2025 года № 45. Зарегистрировано в Министерстве юстиции Республики Казахстан 29 августа 2025 года № 36740.</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развития финансового рынка, в которые вносятся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рынка ценных бумаг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w:t>
            </w:r>
          </w:p>
          <w:p>
            <w:pPr>
              <w:spacing w:after="20"/>
              <w:ind w:left="20"/>
              <w:jc w:val="both"/>
            </w:pPr>
          </w:p>
          <w:p>
            <w:pPr>
              <w:spacing w:after="20"/>
              <w:ind w:left="20"/>
              <w:jc w:val="both"/>
            </w:pPr>
            <w:r>
              <w:rPr>
                <w:rFonts w:ascii="Times New Roman"/>
                <w:b w:val="false"/>
                <w:i/>
                <w:color w:val="000000"/>
                <w:sz w:val="20"/>
              </w:rPr>
              <w:t xml:space="preserve">Республики Казахстан по регулированию и </w:t>
            </w:r>
          </w:p>
          <w:p>
            <w:pPr>
              <w:spacing w:after="0"/>
              <w:ind w:left="0"/>
              <w:jc w:val="left"/>
            </w:pPr>
          </w:p>
          <w:p>
            <w:pPr>
              <w:spacing w:after="20"/>
              <w:ind w:left="20"/>
              <w:jc w:val="both"/>
            </w:pPr>
            <w:r>
              <w:rPr>
                <w:rFonts w:ascii="Times New Roman"/>
                <w:b w:val="false"/>
                <w:i/>
                <w:color w:val="000000"/>
                <w:sz w:val="20"/>
              </w:rPr>
              <w:t xml:space="preserve">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28 августа 2025 года № 45</w:t>
            </w:r>
          </w:p>
        </w:tc>
      </w:tr>
    </w:tbl>
    <w:bookmarkStart w:name="z14" w:id="8"/>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развития финансового рынка, в которые вносятся изменения</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21 августа 2004 года № 259 "Об утверждении Правил, условий и методики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 а также Правил, форм и сроков предоставления акционерным инвестиционным фондом или управляющей компанией информации о стоимости и составе активов и обязательств, стоимости чистых активов инвестиционного фонда, а также количестве держателей паев и доходности пая" (зарегистрировано в Реестре государственной регистрации нормативных правовых актов под № 3124) следующее изменение:</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условиях и методики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 утвержденных указанным постановлением:</w:t>
      </w:r>
    </w:p>
    <w:bookmarkEnd w:id="10"/>
    <w:bookmarkStart w:name="z1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xml:space="preserve"> признания обесценения или уменьшения стоимости ценных бумаг согласно </w:t>
      </w:r>
      <w:r>
        <w:rPr>
          <w:rFonts w:ascii="Times New Roman"/>
          <w:b w:val="false"/>
          <w:i w:val="false"/>
          <w:color w:val="000000"/>
          <w:sz w:val="28"/>
        </w:rPr>
        <w:t>приложению 1</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12"/>
    <w:bookmarkStart w:name="z19"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включенные в сегмент "Буфер для долговых ценных бумаг"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0" w:id="14"/>
    <w:p>
      <w:pPr>
        <w:spacing w:after="0"/>
        <w:ind w:left="0"/>
        <w:jc w:val="both"/>
      </w:pPr>
      <w:r>
        <w:rPr>
          <w:rFonts w:ascii="Times New Roman"/>
          <w:b w:val="false"/>
          <w:i w:val="false"/>
          <w:color w:val="000000"/>
          <w:sz w:val="28"/>
        </w:rPr>
        <w:t>
      ".</w:t>
      </w:r>
    </w:p>
    <w:bookmarkEnd w:id="14"/>
    <w:bookmarkStart w:name="z21" w:id="15"/>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октября 2008 года № 170 "Об утверждении Правил осуществления деятельности организации торговли с ценными бумагами и иными финансовыми инструментами" (зарегистрировано в Реестре государственной регистрации нормативных правовых актов под № 5406) следующие изменения:</w:t>
      </w:r>
    </w:p>
    <w:bookmarkEnd w:id="15"/>
    <w:bookmarkStart w:name="z22"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организации торговли с ценными бумагами и иными финансовыми инструментами, утвержденных указанным постановлением: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4" w:id="17"/>
    <w:p>
      <w:pPr>
        <w:spacing w:after="0"/>
        <w:ind w:left="0"/>
        <w:jc w:val="both"/>
      </w:pPr>
      <w:r>
        <w:rPr>
          <w:rFonts w:ascii="Times New Roman"/>
          <w:b w:val="false"/>
          <w:i w:val="false"/>
          <w:color w:val="000000"/>
          <w:sz w:val="28"/>
        </w:rPr>
        <w:t>
      "7. Помимо условий, предусмотренных пунктом 6 Правил, члены фондовой биржи:</w:t>
      </w:r>
    </w:p>
    <w:bookmarkEnd w:id="17"/>
    <w:bookmarkStart w:name="z25" w:id="18"/>
    <w:p>
      <w:pPr>
        <w:spacing w:after="0"/>
        <w:ind w:left="0"/>
        <w:jc w:val="both"/>
      </w:pPr>
      <w:r>
        <w:rPr>
          <w:rFonts w:ascii="Times New Roman"/>
          <w:b w:val="false"/>
          <w:i w:val="false"/>
          <w:color w:val="000000"/>
          <w:sz w:val="28"/>
        </w:rPr>
        <w:t>
      1) заключают сделки на проводимых фондовой биржей торгах с финансовыми инструментами только на принципах справедливой и равноправной торговли, не ущемляя интересы других членов фондовой биржи, эмитентов ценных бумаг и инвесторов;</w:t>
      </w:r>
    </w:p>
    <w:bookmarkEnd w:id="18"/>
    <w:bookmarkStart w:name="z26" w:id="19"/>
    <w:p>
      <w:pPr>
        <w:spacing w:after="0"/>
        <w:ind w:left="0"/>
        <w:jc w:val="both"/>
      </w:pPr>
      <w:r>
        <w:rPr>
          <w:rFonts w:ascii="Times New Roman"/>
          <w:b w:val="false"/>
          <w:i w:val="false"/>
          <w:color w:val="000000"/>
          <w:sz w:val="28"/>
        </w:rPr>
        <w:t>
      2) своевременно и полностью исполняют свои обязательства перед расчетными организациями фондовой биржи путем поставки активов для исполнения заключенных ими сделок с финансовыми инструментами на организованном рынке ценных бумаг, а также иные обязательства в соответствии с законодательством Республики Казахстан о рынке ценных бумаг и внутренними документами фондовой биржи;</w:t>
      </w:r>
    </w:p>
    <w:bookmarkEnd w:id="19"/>
    <w:bookmarkStart w:name="z27" w:id="20"/>
    <w:p>
      <w:pPr>
        <w:spacing w:after="0"/>
        <w:ind w:left="0"/>
        <w:jc w:val="both"/>
      </w:pPr>
      <w:r>
        <w:rPr>
          <w:rFonts w:ascii="Times New Roman"/>
          <w:b w:val="false"/>
          <w:i w:val="false"/>
          <w:color w:val="000000"/>
          <w:sz w:val="28"/>
        </w:rPr>
        <w:t>
      3) в своей деятельности руководствуются правилами этики фондовой биржи и принципами добросовестной конкуренции в отношении других членов фондовой биржи (их клиентов), своих клиентов и фондовой биржи, а также не оказывают прямого и косвенного воздействия на них в целях изменения их рыночного поведения;</w:t>
      </w:r>
    </w:p>
    <w:bookmarkEnd w:id="20"/>
    <w:bookmarkStart w:name="z28" w:id="21"/>
    <w:p>
      <w:pPr>
        <w:spacing w:after="0"/>
        <w:ind w:left="0"/>
        <w:jc w:val="both"/>
      </w:pPr>
      <w:r>
        <w:rPr>
          <w:rFonts w:ascii="Times New Roman"/>
          <w:b w:val="false"/>
          <w:i w:val="false"/>
          <w:color w:val="000000"/>
          <w:sz w:val="28"/>
        </w:rPr>
        <w:t>
      4) предоставляют уполномоченному органу запрашиваемую информацию в сроки, указанные в запросе, в бумажной и (или) электронной формах.";</w:t>
      </w:r>
    </w:p>
    <w:bookmarkEnd w:id="21"/>
    <w:bookmarkStart w:name="z29" w:id="2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22"/>
    <w:bookmarkStart w:name="z30" w:id="23"/>
    <w:p>
      <w:pPr>
        <w:spacing w:after="0"/>
        <w:ind w:left="0"/>
        <w:jc w:val="both"/>
      </w:pPr>
      <w:r>
        <w:rPr>
          <w:rFonts w:ascii="Times New Roman"/>
          <w:b w:val="false"/>
          <w:i w:val="false"/>
          <w:color w:val="000000"/>
          <w:sz w:val="28"/>
        </w:rPr>
        <w:t>
      "10. Внутренними документами фондовой биржи предусмотрены условия и порядок приостановления или прекращения членства, в том числе в случае неоднократного (два и более раза в течение двенадцати последовательных календарных месяцев) невыполнения требований подпункта 4) пункта 7 Правил.";</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43-2</w:t>
      </w:r>
      <w:r>
        <w:rPr>
          <w:rFonts w:ascii="Times New Roman"/>
          <w:b w:val="false"/>
          <w:i w:val="false"/>
          <w:color w:val="000000"/>
          <w:sz w:val="28"/>
        </w:rPr>
        <w:t xml:space="preserve"> изложить в следующей редакции:</w:t>
      </w:r>
    </w:p>
    <w:bookmarkStart w:name="z32" w:id="24"/>
    <w:p>
      <w:pPr>
        <w:spacing w:after="0"/>
        <w:ind w:left="0"/>
        <w:jc w:val="both"/>
      </w:pPr>
      <w:r>
        <w:rPr>
          <w:rFonts w:ascii="Times New Roman"/>
          <w:b w:val="false"/>
          <w:i w:val="false"/>
          <w:color w:val="000000"/>
          <w:sz w:val="28"/>
        </w:rPr>
        <w:t>
      "43-2. Фондовая биржа принимает решение об отказе брокеру и (или) дилеру - члену фондовой биржи в присвоении ему статуса маркет-мейкера по финансовому инструменту определенного наименования, при возникновении одного из следующих оснований:</w:t>
      </w:r>
    </w:p>
    <w:bookmarkEnd w:id="24"/>
    <w:bookmarkStart w:name="z33" w:id="25"/>
    <w:p>
      <w:pPr>
        <w:spacing w:after="0"/>
        <w:ind w:left="0"/>
        <w:jc w:val="both"/>
      </w:pPr>
      <w:r>
        <w:rPr>
          <w:rFonts w:ascii="Times New Roman"/>
          <w:b w:val="false"/>
          <w:i w:val="false"/>
          <w:color w:val="000000"/>
          <w:sz w:val="28"/>
        </w:rPr>
        <w:t xml:space="preserve">
      1) несоответствие заявления брокера и (или) дилера - члена фондовой биржи требованиям </w:t>
      </w:r>
      <w:r>
        <w:rPr>
          <w:rFonts w:ascii="Times New Roman"/>
          <w:b w:val="false"/>
          <w:i w:val="false"/>
          <w:color w:val="000000"/>
          <w:sz w:val="28"/>
        </w:rPr>
        <w:t>пункта 43-1</w:t>
      </w:r>
      <w:r>
        <w:rPr>
          <w:rFonts w:ascii="Times New Roman"/>
          <w:b w:val="false"/>
          <w:i w:val="false"/>
          <w:color w:val="000000"/>
          <w:sz w:val="28"/>
        </w:rPr>
        <w:t xml:space="preserve"> Правил;</w:t>
      </w:r>
    </w:p>
    <w:bookmarkEnd w:id="25"/>
    <w:bookmarkStart w:name="z34" w:id="26"/>
    <w:p>
      <w:pPr>
        <w:spacing w:after="0"/>
        <w:ind w:left="0"/>
        <w:jc w:val="both"/>
      </w:pPr>
      <w:r>
        <w:rPr>
          <w:rFonts w:ascii="Times New Roman"/>
          <w:b w:val="false"/>
          <w:i w:val="false"/>
          <w:color w:val="000000"/>
          <w:sz w:val="28"/>
        </w:rPr>
        <w:t>
      2) несоблюдение брокером и (или) дилером - членом фондовой биржи в течение последовательных двенадцати месяцев норм законодательства Республики Казахстан о рынке ценных бумаг и (или) внутренних документов фондовой биржи в части манипулирования и (или) недобросовестного поведения и (или) неправомерного использования инсайдерской информации на рынке ценных бумаг в отношении финансового инструмента данного наименования;</w:t>
      </w:r>
    </w:p>
    <w:bookmarkEnd w:id="26"/>
    <w:bookmarkStart w:name="z35" w:id="27"/>
    <w:p>
      <w:pPr>
        <w:spacing w:after="0"/>
        <w:ind w:left="0"/>
        <w:jc w:val="both"/>
      </w:pPr>
      <w:r>
        <w:rPr>
          <w:rFonts w:ascii="Times New Roman"/>
          <w:b w:val="false"/>
          <w:i w:val="false"/>
          <w:color w:val="000000"/>
          <w:sz w:val="28"/>
        </w:rPr>
        <w:t>
      3) систематического (два и более раза в течение двенадцати последовательных месяцев) неисполнения брокером и (или) дилером - членом фондовой биржи его обязанностей маркет-мейкера в отношении финансового инструмента данного наименования.";</w:t>
      </w:r>
    </w:p>
    <w:bookmarkEnd w:id="27"/>
    <w:bookmarkStart w:name="z36" w:id="28"/>
    <w:p>
      <w:pPr>
        <w:spacing w:after="0"/>
        <w:ind w:left="0"/>
        <w:jc w:val="both"/>
      </w:pPr>
      <w:r>
        <w:rPr>
          <w:rFonts w:ascii="Times New Roman"/>
          <w:b w:val="false"/>
          <w:i w:val="false"/>
          <w:color w:val="000000"/>
          <w:sz w:val="28"/>
        </w:rPr>
        <w:t xml:space="preserve">
      подпункт 3) части первой </w:t>
      </w:r>
      <w:r>
        <w:rPr>
          <w:rFonts w:ascii="Times New Roman"/>
          <w:b w:val="false"/>
          <w:i w:val="false"/>
          <w:color w:val="000000"/>
          <w:sz w:val="28"/>
        </w:rPr>
        <w:t>пункта 46-1</w:t>
      </w:r>
      <w:r>
        <w:rPr>
          <w:rFonts w:ascii="Times New Roman"/>
          <w:b w:val="false"/>
          <w:i w:val="false"/>
          <w:color w:val="000000"/>
          <w:sz w:val="28"/>
        </w:rPr>
        <w:t xml:space="preserve"> изложить в следующей редакции:</w:t>
      </w:r>
    </w:p>
    <w:bookmarkEnd w:id="28"/>
    <w:bookmarkStart w:name="z37" w:id="29"/>
    <w:p>
      <w:pPr>
        <w:spacing w:after="0"/>
        <w:ind w:left="0"/>
        <w:jc w:val="both"/>
      </w:pPr>
      <w:r>
        <w:rPr>
          <w:rFonts w:ascii="Times New Roman"/>
          <w:b w:val="false"/>
          <w:i w:val="false"/>
          <w:color w:val="000000"/>
          <w:sz w:val="28"/>
        </w:rPr>
        <w:t>
      "3) несоблюдение брокером и (или) дилером - членом фондовой биржи норм законодательства Республики Казахстан о рынке ценных бумаг и (или) внутренних документов фондовой биржи в части манипулирования и (или) недобросовестного поведения и (или) неправомерного использования инсайдерской информации на рынке ценных бумаг в отношении финансового инструмента данного наименования;".</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Правления Агентства РК по регулированию и развитию финансового рынка от 30.04.2026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30"/>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марта 2017 года № 54 "Об утверждении Требований к эмитентам и их ценным бумагам, допускаемым к обращению на фондовой бирже, а также к отдельным категориям официального списка фондовой биржи и внесении изменений в некоторые нормативные правовые акты Республики Казахстан по вопросам регулирования рынка ценных бумаг" (зарегистрировано в Реестре государственной регистрации нормативных правовых актов под № 15175) следующие изменения: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57" w:id="3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89 Закона Республики Казахстан "О рынке ценных бумаг"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31"/>
    <w:bookmarkStart w:name="z58"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эмитентам и их ценным бумагам, допускаемым к обращению на фондовой бирже, а также к отдельным категориям официального списка фондовой биржи, утвержденных указанным постановлением: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60" w:id="33"/>
    <w:p>
      <w:pPr>
        <w:spacing w:after="0"/>
        <w:ind w:left="0"/>
        <w:jc w:val="both"/>
      </w:pPr>
      <w:r>
        <w:rPr>
          <w:rFonts w:ascii="Times New Roman"/>
          <w:b w:val="false"/>
          <w:i w:val="false"/>
          <w:color w:val="000000"/>
          <w:sz w:val="28"/>
        </w:rPr>
        <w:t>
      "2. Для целей Требований используются следующие понятия:</w:t>
      </w:r>
    </w:p>
    <w:bookmarkEnd w:id="33"/>
    <w:bookmarkStart w:name="z61" w:id="34"/>
    <w:p>
      <w:pPr>
        <w:spacing w:after="0"/>
        <w:ind w:left="0"/>
        <w:jc w:val="both"/>
      </w:pPr>
      <w:r>
        <w:rPr>
          <w:rFonts w:ascii="Times New Roman"/>
          <w:b w:val="false"/>
          <w:i w:val="false"/>
          <w:color w:val="000000"/>
          <w:sz w:val="28"/>
        </w:rPr>
        <w:t>
      1) сектор площадки - часть площадки официального списка фондовой биржи, в которую включены (в которой допущены к обращению) эмиссионные ценные бумаги, соответствующие Требованиям и (или) внутренним документам фондовой биржи;</w:t>
      </w:r>
    </w:p>
    <w:bookmarkEnd w:id="34"/>
    <w:bookmarkStart w:name="z62" w:id="35"/>
    <w:p>
      <w:pPr>
        <w:spacing w:after="0"/>
        <w:ind w:left="0"/>
        <w:jc w:val="both"/>
      </w:pPr>
      <w:r>
        <w:rPr>
          <w:rFonts w:ascii="Times New Roman"/>
          <w:b w:val="false"/>
          <w:i w:val="false"/>
          <w:color w:val="000000"/>
          <w:sz w:val="28"/>
        </w:rPr>
        <w:t>
      2) долговая ценная бумага - ценная бумага, удостоверяющая право ее владельца на получение от эмитента суммы основного долга на условиях выпуска данных ценных бумаг;</w:t>
      </w:r>
    </w:p>
    <w:bookmarkEnd w:id="35"/>
    <w:bookmarkStart w:name="z63" w:id="36"/>
    <w:p>
      <w:pPr>
        <w:spacing w:after="0"/>
        <w:ind w:left="0"/>
        <w:jc w:val="both"/>
      </w:pPr>
      <w:r>
        <w:rPr>
          <w:rFonts w:ascii="Times New Roman"/>
          <w:b w:val="false"/>
          <w:i w:val="false"/>
          <w:color w:val="000000"/>
          <w:sz w:val="28"/>
        </w:rPr>
        <w:t>
      3) сегмент "Буфер для долговых ценных бумаг" - часть официального списка фондовой биржи, предназначенная для ценных бумаг эмитентов, допустивших дефолт по выплате купонного вознаграждения либо начавших реструктуризацию обязательств по облигациям;</w:t>
      </w:r>
    </w:p>
    <w:bookmarkEnd w:id="36"/>
    <w:bookmarkStart w:name="z64" w:id="37"/>
    <w:p>
      <w:pPr>
        <w:spacing w:after="0"/>
        <w:ind w:left="0"/>
        <w:jc w:val="both"/>
      </w:pPr>
      <w:r>
        <w:rPr>
          <w:rFonts w:ascii="Times New Roman"/>
          <w:b w:val="false"/>
          <w:i w:val="false"/>
          <w:color w:val="000000"/>
          <w:sz w:val="28"/>
        </w:rPr>
        <w:t>
      4) облигации местных исполнительных органов - государственные ценные бумаги Республики Казахстан, выпущенные местными исполнительными органами области, города республиканского значения, столицы;</w:t>
      </w:r>
    </w:p>
    <w:bookmarkEnd w:id="37"/>
    <w:bookmarkStart w:name="z65" w:id="38"/>
    <w:p>
      <w:pPr>
        <w:spacing w:after="0"/>
        <w:ind w:left="0"/>
        <w:jc w:val="both"/>
      </w:pPr>
      <w:r>
        <w:rPr>
          <w:rFonts w:ascii="Times New Roman"/>
          <w:b w:val="false"/>
          <w:i w:val="false"/>
          <w:color w:val="000000"/>
          <w:sz w:val="28"/>
        </w:rPr>
        <w:t>
      5) исламские ценные бумаги - исламские арендные сертификаты, исламские сертификаты участия и иные ценные бумаги, признанные исламскими ценными бумагами в соответствии с законодательством Республики Казахстан;</w:t>
      </w:r>
    </w:p>
    <w:bookmarkEnd w:id="38"/>
    <w:bookmarkStart w:name="z66" w:id="39"/>
    <w:p>
      <w:pPr>
        <w:spacing w:after="0"/>
        <w:ind w:left="0"/>
        <w:jc w:val="both"/>
      </w:pPr>
      <w:r>
        <w:rPr>
          <w:rFonts w:ascii="Times New Roman"/>
          <w:b w:val="false"/>
          <w:i w:val="false"/>
          <w:color w:val="000000"/>
          <w:sz w:val="28"/>
        </w:rPr>
        <w:t>
      6) официальный список фондовой биржи - часть списка фондовой биржи, для включения в который и нахождения в котором ценные бумаги и эмитенты ценных бумаг соответствуют Требованиям;</w:t>
      </w:r>
    </w:p>
    <w:bookmarkEnd w:id="39"/>
    <w:bookmarkStart w:name="z67" w:id="40"/>
    <w:p>
      <w:pPr>
        <w:spacing w:after="0"/>
        <w:ind w:left="0"/>
        <w:jc w:val="both"/>
      </w:pPr>
      <w:r>
        <w:rPr>
          <w:rFonts w:ascii="Times New Roman"/>
          <w:b w:val="false"/>
          <w:i w:val="false"/>
          <w:color w:val="000000"/>
          <w:sz w:val="28"/>
        </w:rPr>
        <w:t>
      7) список фондовой биржи - составленный в соответствии с внутренними документами фондовой биржи список финансовых инструментов, разрешенных к обращению в торговой системе фондовой биржи;</w:t>
      </w:r>
    </w:p>
    <w:bookmarkEnd w:id="40"/>
    <w:bookmarkStart w:name="z68" w:id="41"/>
    <w:p>
      <w:pPr>
        <w:spacing w:after="0"/>
        <w:ind w:left="0"/>
        <w:jc w:val="both"/>
      </w:pPr>
      <w:r>
        <w:rPr>
          <w:rFonts w:ascii="Times New Roman"/>
          <w:b w:val="false"/>
          <w:i w:val="false"/>
          <w:color w:val="000000"/>
          <w:sz w:val="28"/>
        </w:rPr>
        <w:t>
      8) листинговая компания - юридическое лицо, ценные бумаги которого включены в официальный список фондовой биржи (допущены к обращению в официальном списке фондовой биржи);</w:t>
      </w:r>
    </w:p>
    <w:bookmarkEnd w:id="41"/>
    <w:bookmarkStart w:name="z69" w:id="42"/>
    <w:p>
      <w:pPr>
        <w:spacing w:after="0"/>
        <w:ind w:left="0"/>
        <w:jc w:val="both"/>
      </w:pPr>
      <w:r>
        <w:rPr>
          <w:rFonts w:ascii="Times New Roman"/>
          <w:b w:val="false"/>
          <w:i w:val="false"/>
          <w:color w:val="000000"/>
          <w:sz w:val="28"/>
        </w:rPr>
        <w:t>
      9) площадка официального списка - часть официального списка фондовой биржи, состоящая из секторов;</w:t>
      </w:r>
    </w:p>
    <w:bookmarkEnd w:id="42"/>
    <w:bookmarkStart w:name="z70" w:id="43"/>
    <w:p>
      <w:pPr>
        <w:spacing w:after="0"/>
        <w:ind w:left="0"/>
        <w:jc w:val="both"/>
      </w:pPr>
      <w:r>
        <w:rPr>
          <w:rFonts w:ascii="Times New Roman"/>
          <w:b w:val="false"/>
          <w:i w:val="false"/>
          <w:color w:val="000000"/>
          <w:sz w:val="28"/>
        </w:rPr>
        <w:t>
      10) инициатор допуска - эмитент, фондовая биржа либо член фондовой биржи, по инициативе которых ценные бумаги включаются (допускаются) в официальный список фондовой биржи;</w:t>
      </w:r>
    </w:p>
    <w:bookmarkEnd w:id="43"/>
    <w:bookmarkStart w:name="z71" w:id="44"/>
    <w:p>
      <w:pPr>
        <w:spacing w:after="0"/>
        <w:ind w:left="0"/>
        <w:jc w:val="both"/>
      </w:pPr>
      <w:r>
        <w:rPr>
          <w:rFonts w:ascii="Times New Roman"/>
          <w:b w:val="false"/>
          <w:i w:val="false"/>
          <w:color w:val="000000"/>
          <w:sz w:val="28"/>
        </w:rPr>
        <w:t>
      11) торговая площадка - часть программно-технического комплекса фондовой биржи, посредством которого заключаются сделки с отдельными видами финансовых инструментов, включенных в официальный список (допущенных к обращению на фондовой бирже);</w:t>
      </w:r>
    </w:p>
    <w:bookmarkEnd w:id="44"/>
    <w:bookmarkStart w:name="z72" w:id="45"/>
    <w:p>
      <w:pPr>
        <w:spacing w:after="0"/>
        <w:ind w:left="0"/>
        <w:jc w:val="both"/>
      </w:pPr>
      <w:r>
        <w:rPr>
          <w:rFonts w:ascii="Times New Roman"/>
          <w:b w:val="false"/>
          <w:i w:val="false"/>
          <w:color w:val="000000"/>
          <w:sz w:val="28"/>
        </w:rPr>
        <w:t>
      12) реструктуризация обязательств эмитента-комплекс административных, юридических, финансовых, организационно-технических и других мероприятий и процедур, реализуемых эмитентом на основании плана реструктуризации, утвержденного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либо плана реабилитации, утвержденного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74" w:id="46"/>
    <w:p>
      <w:pPr>
        <w:spacing w:after="0"/>
        <w:ind w:left="0"/>
        <w:jc w:val="both"/>
      </w:pPr>
      <w:r>
        <w:rPr>
          <w:rFonts w:ascii="Times New Roman"/>
          <w:b w:val="false"/>
          <w:i w:val="false"/>
          <w:color w:val="000000"/>
          <w:sz w:val="28"/>
        </w:rPr>
        <w:t>
      "4. Список фондовой биржи состоит из официального списка фондовой биржи и неофициального списка – сектора "Нелистинговые ценные бумаги".";</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76" w:id="47"/>
    <w:p>
      <w:pPr>
        <w:spacing w:after="0"/>
        <w:ind w:left="0"/>
        <w:jc w:val="both"/>
      </w:pPr>
      <w:r>
        <w:rPr>
          <w:rFonts w:ascii="Times New Roman"/>
          <w:b w:val="false"/>
          <w:i w:val="false"/>
          <w:color w:val="000000"/>
          <w:sz w:val="28"/>
        </w:rPr>
        <w:t>
      "6. Официальный список фондовой биржи состоит из следующих обособленных площадок:</w:t>
      </w:r>
    </w:p>
    <w:bookmarkEnd w:id="47"/>
    <w:bookmarkStart w:name="z77" w:id="48"/>
    <w:p>
      <w:pPr>
        <w:spacing w:after="0"/>
        <w:ind w:left="0"/>
        <w:jc w:val="both"/>
      </w:pPr>
      <w:r>
        <w:rPr>
          <w:rFonts w:ascii="Times New Roman"/>
          <w:b w:val="false"/>
          <w:i w:val="false"/>
          <w:color w:val="000000"/>
          <w:sz w:val="28"/>
        </w:rPr>
        <w:t>
      1) "Основная";</w:t>
      </w:r>
    </w:p>
    <w:bookmarkEnd w:id="48"/>
    <w:bookmarkStart w:name="z78" w:id="49"/>
    <w:p>
      <w:pPr>
        <w:spacing w:after="0"/>
        <w:ind w:left="0"/>
        <w:jc w:val="both"/>
      </w:pPr>
      <w:r>
        <w:rPr>
          <w:rFonts w:ascii="Times New Roman"/>
          <w:b w:val="false"/>
          <w:i w:val="false"/>
          <w:color w:val="000000"/>
          <w:sz w:val="28"/>
        </w:rPr>
        <w:t>
      2) "Алтернативная";</w:t>
      </w:r>
    </w:p>
    <w:bookmarkEnd w:id="49"/>
    <w:bookmarkStart w:name="z79" w:id="50"/>
    <w:p>
      <w:pPr>
        <w:spacing w:after="0"/>
        <w:ind w:left="0"/>
        <w:jc w:val="both"/>
      </w:pPr>
      <w:r>
        <w:rPr>
          <w:rFonts w:ascii="Times New Roman"/>
          <w:b w:val="false"/>
          <w:i w:val="false"/>
          <w:color w:val="000000"/>
          <w:sz w:val="28"/>
        </w:rPr>
        <w:t>
      3) "Смешанная";</w:t>
      </w:r>
    </w:p>
    <w:bookmarkEnd w:id="50"/>
    <w:bookmarkStart w:name="z80" w:id="51"/>
    <w:p>
      <w:pPr>
        <w:spacing w:after="0"/>
        <w:ind w:left="0"/>
        <w:jc w:val="both"/>
      </w:pPr>
      <w:r>
        <w:rPr>
          <w:rFonts w:ascii="Times New Roman"/>
          <w:b w:val="false"/>
          <w:i w:val="false"/>
          <w:color w:val="000000"/>
          <w:sz w:val="28"/>
        </w:rPr>
        <w:t>
      4) "Частное размещение";</w:t>
      </w:r>
    </w:p>
    <w:bookmarkEnd w:id="51"/>
    <w:bookmarkStart w:name="z81" w:id="52"/>
    <w:p>
      <w:pPr>
        <w:spacing w:after="0"/>
        <w:ind w:left="0"/>
        <w:jc w:val="both"/>
      </w:pPr>
      <w:r>
        <w:rPr>
          <w:rFonts w:ascii="Times New Roman"/>
          <w:b w:val="false"/>
          <w:i w:val="false"/>
          <w:color w:val="000000"/>
          <w:sz w:val="28"/>
        </w:rPr>
        <w:t>
      5) иные площадки, создание и функционирование которых осуществляется в соответствие с внутренними документами фондовой биржи.</w:t>
      </w:r>
    </w:p>
    <w:bookmarkEnd w:id="52"/>
    <w:bookmarkStart w:name="z82" w:id="53"/>
    <w:p>
      <w:pPr>
        <w:spacing w:after="0"/>
        <w:ind w:left="0"/>
        <w:jc w:val="both"/>
      </w:pPr>
      <w:r>
        <w:rPr>
          <w:rFonts w:ascii="Times New Roman"/>
          <w:b w:val="false"/>
          <w:i w:val="false"/>
          <w:color w:val="000000"/>
          <w:sz w:val="28"/>
        </w:rPr>
        <w:t>
      В случаях, установленных пунктом 16 Требований, ценные бумаги, находящиеся на площадках, указанных в части первой настоящего пункта, могут быть переведены в сегмент "Буфер для долговых ценных бумаг" официального списка фондовой биржи.";</w:t>
      </w:r>
    </w:p>
    <w:bookmarkEnd w:id="53"/>
    <w:bookmarkStart w:name="z83" w:id="5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54"/>
    <w:bookmarkStart w:name="z84" w:id="55"/>
    <w:p>
      <w:pPr>
        <w:spacing w:after="0"/>
        <w:ind w:left="0"/>
        <w:jc w:val="both"/>
      </w:pPr>
      <w:r>
        <w:rPr>
          <w:rFonts w:ascii="Times New Roman"/>
          <w:b w:val="false"/>
          <w:i w:val="false"/>
          <w:color w:val="000000"/>
          <w:sz w:val="28"/>
        </w:rPr>
        <w:t>
      "Критерии (условия) распределения ценных бумаг в секторы (категории и подкатегории) площадок, указанных в части первой пункта 6 Требований, устанавливаются внутренними документами фондовой биржи.";</w:t>
      </w:r>
    </w:p>
    <w:bookmarkEnd w:id="55"/>
    <w:bookmarkStart w:name="z85" w:id="5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56"/>
    <w:bookmarkStart w:name="z86" w:id="57"/>
    <w:p>
      <w:pPr>
        <w:spacing w:after="0"/>
        <w:ind w:left="0"/>
        <w:jc w:val="both"/>
      </w:pPr>
      <w:r>
        <w:rPr>
          <w:rFonts w:ascii="Times New Roman"/>
          <w:b w:val="false"/>
          <w:i w:val="false"/>
          <w:color w:val="000000"/>
          <w:sz w:val="28"/>
        </w:rPr>
        <w:t>
      "9. Сектор "акции" площадки "Основная" подразделяется на следующие категории: категория "премиум", категория "стандарт" и иные категории, предусмотренные внутренними документами фондовой биржи.";</w:t>
      </w:r>
    </w:p>
    <w:bookmarkEnd w:id="57"/>
    <w:bookmarkStart w:name="z87" w:id="5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58"/>
    <w:bookmarkStart w:name="z88" w:id="59"/>
    <w:p>
      <w:pPr>
        <w:spacing w:after="0"/>
        <w:ind w:left="0"/>
        <w:jc w:val="both"/>
      </w:pPr>
      <w:r>
        <w:rPr>
          <w:rFonts w:ascii="Times New Roman"/>
          <w:b w:val="false"/>
          <w:i w:val="false"/>
          <w:color w:val="000000"/>
          <w:sz w:val="28"/>
        </w:rPr>
        <w:t>
      "11. Сектор "долговые ценные бумаги" площадки "Основная" подразделяется на категории:</w:t>
      </w:r>
    </w:p>
    <w:bookmarkEnd w:id="59"/>
    <w:bookmarkStart w:name="z89" w:id="60"/>
    <w:p>
      <w:pPr>
        <w:spacing w:after="0"/>
        <w:ind w:left="0"/>
        <w:jc w:val="both"/>
      </w:pPr>
      <w:r>
        <w:rPr>
          <w:rFonts w:ascii="Times New Roman"/>
          <w:b w:val="false"/>
          <w:i w:val="false"/>
          <w:color w:val="000000"/>
          <w:sz w:val="28"/>
        </w:rPr>
        <w:t>
      1) облигации;</w:t>
      </w:r>
    </w:p>
    <w:bookmarkEnd w:id="60"/>
    <w:bookmarkStart w:name="z90" w:id="61"/>
    <w:p>
      <w:pPr>
        <w:spacing w:after="0"/>
        <w:ind w:left="0"/>
        <w:jc w:val="both"/>
      </w:pPr>
      <w:r>
        <w:rPr>
          <w:rFonts w:ascii="Times New Roman"/>
          <w:b w:val="false"/>
          <w:i w:val="false"/>
          <w:color w:val="000000"/>
          <w:sz w:val="28"/>
        </w:rPr>
        <w:t>
      2) коммерческие облигации;</w:t>
      </w:r>
    </w:p>
    <w:bookmarkEnd w:id="61"/>
    <w:bookmarkStart w:name="z91" w:id="62"/>
    <w:p>
      <w:pPr>
        <w:spacing w:after="0"/>
        <w:ind w:left="0"/>
        <w:jc w:val="both"/>
      </w:pPr>
      <w:r>
        <w:rPr>
          <w:rFonts w:ascii="Times New Roman"/>
          <w:b w:val="false"/>
          <w:i w:val="false"/>
          <w:color w:val="000000"/>
          <w:sz w:val="28"/>
        </w:rPr>
        <w:t>
      3) иные категории, предусмотренные внутренними документами фондовой биржи.";</w:t>
      </w:r>
    </w:p>
    <w:bookmarkEnd w:id="62"/>
    <w:bookmarkStart w:name="z92" w:id="6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63"/>
    <w:bookmarkStart w:name="z93" w:id="64"/>
    <w:p>
      <w:pPr>
        <w:spacing w:after="0"/>
        <w:ind w:left="0"/>
        <w:jc w:val="both"/>
      </w:pPr>
      <w:r>
        <w:rPr>
          <w:rFonts w:ascii="Times New Roman"/>
          <w:b w:val="false"/>
          <w:i w:val="false"/>
          <w:color w:val="000000"/>
          <w:sz w:val="28"/>
        </w:rPr>
        <w:t>
      "15. Сектор "долговые ценные бумаги" площадки "Альтернативная" подразделяется на категории:</w:t>
      </w:r>
    </w:p>
    <w:bookmarkEnd w:id="64"/>
    <w:bookmarkStart w:name="z94" w:id="65"/>
    <w:p>
      <w:pPr>
        <w:spacing w:after="0"/>
        <w:ind w:left="0"/>
        <w:jc w:val="both"/>
      </w:pPr>
      <w:r>
        <w:rPr>
          <w:rFonts w:ascii="Times New Roman"/>
          <w:b w:val="false"/>
          <w:i w:val="false"/>
          <w:color w:val="000000"/>
          <w:sz w:val="28"/>
        </w:rPr>
        <w:t>
      1) облигации;</w:t>
      </w:r>
    </w:p>
    <w:bookmarkEnd w:id="65"/>
    <w:bookmarkStart w:name="z95" w:id="66"/>
    <w:p>
      <w:pPr>
        <w:spacing w:after="0"/>
        <w:ind w:left="0"/>
        <w:jc w:val="both"/>
      </w:pPr>
      <w:r>
        <w:rPr>
          <w:rFonts w:ascii="Times New Roman"/>
          <w:b w:val="false"/>
          <w:i w:val="false"/>
          <w:color w:val="000000"/>
          <w:sz w:val="28"/>
        </w:rPr>
        <w:t>
      2) коммерческие облигации;</w:t>
      </w:r>
    </w:p>
    <w:bookmarkEnd w:id="66"/>
    <w:bookmarkStart w:name="z96" w:id="67"/>
    <w:p>
      <w:pPr>
        <w:spacing w:after="0"/>
        <w:ind w:left="0"/>
        <w:jc w:val="both"/>
      </w:pPr>
      <w:r>
        <w:rPr>
          <w:rFonts w:ascii="Times New Roman"/>
          <w:b w:val="false"/>
          <w:i w:val="false"/>
          <w:color w:val="000000"/>
          <w:sz w:val="28"/>
        </w:rPr>
        <w:t>
      3) иные категории, предусмотренные внутренними документами фондовой биржи.";</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98" w:id="68"/>
    <w:p>
      <w:pPr>
        <w:spacing w:after="0"/>
        <w:ind w:left="0"/>
        <w:jc w:val="both"/>
      </w:pPr>
      <w:r>
        <w:rPr>
          <w:rFonts w:ascii="Times New Roman"/>
          <w:b w:val="false"/>
          <w:i w:val="false"/>
          <w:color w:val="000000"/>
          <w:sz w:val="28"/>
        </w:rPr>
        <w:t>
      "16. Перевод долговых ценных бумаг эмитента в сегмент "Буфер для долговых ценных бумаг" официального списка фондовой биржи осуществляется по следующим основаниям:</w:t>
      </w:r>
    </w:p>
    <w:bookmarkEnd w:id="68"/>
    <w:bookmarkStart w:name="z99" w:id="69"/>
    <w:p>
      <w:pPr>
        <w:spacing w:after="0"/>
        <w:ind w:left="0"/>
        <w:jc w:val="both"/>
      </w:pPr>
      <w:r>
        <w:rPr>
          <w:rFonts w:ascii="Times New Roman"/>
          <w:b w:val="false"/>
          <w:i w:val="false"/>
          <w:color w:val="000000"/>
          <w:sz w:val="28"/>
        </w:rPr>
        <w:t>
      1) дефолт эмитента по выплате вознаграждения по своим обязательствам (за исключением вознаграждения за последний купонный период в случае, если данный выпуск долговых ценных бумаг является единственным выпуском долговых ценных бумаг данного эмитента в официальном списке фондовой биржи);</w:t>
      </w:r>
    </w:p>
    <w:bookmarkEnd w:id="69"/>
    <w:bookmarkStart w:name="z100" w:id="70"/>
    <w:p>
      <w:pPr>
        <w:spacing w:after="0"/>
        <w:ind w:left="0"/>
        <w:jc w:val="both"/>
      </w:pPr>
      <w:r>
        <w:rPr>
          <w:rFonts w:ascii="Times New Roman"/>
          <w:b w:val="false"/>
          <w:i w:val="false"/>
          <w:color w:val="000000"/>
          <w:sz w:val="28"/>
        </w:rPr>
        <w:t>
      2) принятие советом директоров эмитента (наблюдательным советом эмитента, созданного в иной, помимо акционерного общества, организационно-правовой форме) решения о реструктуризации обязательств эмитента.</w:t>
      </w:r>
    </w:p>
    <w:bookmarkEnd w:id="70"/>
    <w:bookmarkStart w:name="z101" w:id="71"/>
    <w:p>
      <w:pPr>
        <w:spacing w:after="0"/>
        <w:ind w:left="0"/>
        <w:jc w:val="both"/>
      </w:pPr>
      <w:r>
        <w:rPr>
          <w:rFonts w:ascii="Times New Roman"/>
          <w:b w:val="false"/>
          <w:i w:val="false"/>
          <w:color w:val="000000"/>
          <w:sz w:val="28"/>
        </w:rPr>
        <w:t>
      17. Фондовая биржа в течение 3 (трех) рабочих дней с даты возникновения оснований для перевода долговых ценных бумаг эмитента в сегмент "Буфер для долговых ценных бумаг" официального списка фондовой биржи направляет эмитенту (инициатору допуска) уведомление о наличии таких оснований.</w:t>
      </w:r>
    </w:p>
    <w:bookmarkEnd w:id="71"/>
    <w:bookmarkStart w:name="z102" w:id="72"/>
    <w:p>
      <w:pPr>
        <w:spacing w:after="0"/>
        <w:ind w:left="0"/>
        <w:jc w:val="both"/>
      </w:pPr>
      <w:r>
        <w:rPr>
          <w:rFonts w:ascii="Times New Roman"/>
          <w:b w:val="false"/>
          <w:i w:val="false"/>
          <w:color w:val="000000"/>
          <w:sz w:val="28"/>
        </w:rPr>
        <w:t>
      18. При возникновении основания для перевода ценных бумаг эмитента в сегмент "Буфер для долговых ценных бумаг" официального списка фондовой биржи, предусмотренного в подпункте 1) пункта 16 Требований, эмитент (инициатор допуска) уведомляет фондовую биржу о неисполнении обязательств по долговым ценным бумагам, установленных условиями выпуска ценных бумаг, не позднее чем за 3 (три) рабочих дня до установленной условиями выпуска ценных бумаг даты исполнения обязательств.";</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104" w:id="73"/>
    <w:p>
      <w:pPr>
        <w:spacing w:after="0"/>
        <w:ind w:left="0"/>
        <w:jc w:val="both"/>
      </w:pPr>
      <w:r>
        <w:rPr>
          <w:rFonts w:ascii="Times New Roman"/>
          <w:b w:val="false"/>
          <w:i w:val="false"/>
          <w:color w:val="000000"/>
          <w:sz w:val="28"/>
        </w:rPr>
        <w:t>
      "20. Эмитент (инициатор допуска) в течение 20 (двадцати) рабочих дней со дня получения письменного уведомления фондовой биржи либо возникновения оснований для перевода эмитента и его ценных бумаг в сегмент "Буфер для долговых ценных бумаг" официального списка фондовой биржи, предусмотренных в пункте 16 Требований, направляет в адрес фондовой биржи план мероприятий, утвержденный советом директоров эмитента (наблюдательным советом эмитента, созданного в иной, помимо акционерного общества, организационно-правовой форме), по устранению оснований для перевода ценных бумаг эмитента в сегмент "Буфер для долговых ценных бумаг" официального списка фондовой биржи, предусмотренных пунктом 16 Требований (далее – план мероприятий).</w:t>
      </w:r>
    </w:p>
    <w:bookmarkEnd w:id="73"/>
    <w:bookmarkStart w:name="z105" w:id="74"/>
    <w:p>
      <w:pPr>
        <w:spacing w:after="0"/>
        <w:ind w:left="0"/>
        <w:jc w:val="both"/>
      </w:pPr>
      <w:r>
        <w:rPr>
          <w:rFonts w:ascii="Times New Roman"/>
          <w:b w:val="false"/>
          <w:i w:val="false"/>
          <w:color w:val="000000"/>
          <w:sz w:val="28"/>
        </w:rPr>
        <w:t>
      Фондовая биржа в день получения плана мероприятий размещает его на своем интернет-ресурсе.</w:t>
      </w:r>
    </w:p>
    <w:bookmarkEnd w:id="74"/>
    <w:bookmarkStart w:name="z106" w:id="75"/>
    <w:p>
      <w:pPr>
        <w:spacing w:after="0"/>
        <w:ind w:left="0"/>
        <w:jc w:val="both"/>
      </w:pPr>
      <w:r>
        <w:rPr>
          <w:rFonts w:ascii="Times New Roman"/>
          <w:b w:val="false"/>
          <w:i w:val="false"/>
          <w:color w:val="000000"/>
          <w:sz w:val="28"/>
        </w:rPr>
        <w:t>
      План мероприятий содержит:</w:t>
      </w:r>
    </w:p>
    <w:bookmarkEnd w:id="75"/>
    <w:bookmarkStart w:name="z107" w:id="76"/>
    <w:p>
      <w:pPr>
        <w:spacing w:after="0"/>
        <w:ind w:left="0"/>
        <w:jc w:val="both"/>
      </w:pPr>
      <w:r>
        <w:rPr>
          <w:rFonts w:ascii="Times New Roman"/>
          <w:b w:val="false"/>
          <w:i w:val="false"/>
          <w:color w:val="000000"/>
          <w:sz w:val="28"/>
        </w:rPr>
        <w:t>
      краткую характеристику деятельности эмитента;</w:t>
      </w:r>
    </w:p>
    <w:bookmarkEnd w:id="76"/>
    <w:bookmarkStart w:name="z108" w:id="77"/>
    <w:p>
      <w:pPr>
        <w:spacing w:after="0"/>
        <w:ind w:left="0"/>
        <w:jc w:val="both"/>
      </w:pPr>
      <w:r>
        <w:rPr>
          <w:rFonts w:ascii="Times New Roman"/>
          <w:b w:val="false"/>
          <w:i w:val="false"/>
          <w:color w:val="000000"/>
          <w:sz w:val="28"/>
        </w:rPr>
        <w:t>
      основные причины возникновения оснований для перевода ценных бумаг эмитента в сегмент "Буфер для долговых ценных бумаг" официального списка фондовой биржи;</w:t>
      </w:r>
    </w:p>
    <w:bookmarkEnd w:id="77"/>
    <w:bookmarkStart w:name="z109" w:id="78"/>
    <w:p>
      <w:pPr>
        <w:spacing w:after="0"/>
        <w:ind w:left="0"/>
        <w:jc w:val="both"/>
      </w:pPr>
      <w:r>
        <w:rPr>
          <w:rFonts w:ascii="Times New Roman"/>
          <w:b w:val="false"/>
          <w:i w:val="false"/>
          <w:color w:val="000000"/>
          <w:sz w:val="28"/>
        </w:rPr>
        <w:t>
      основные мероприятия, предполагаемые к выполнению эмитентом, направленные на оздоровление финансового положения;</w:t>
      </w:r>
    </w:p>
    <w:bookmarkEnd w:id="78"/>
    <w:bookmarkStart w:name="z110" w:id="79"/>
    <w:p>
      <w:pPr>
        <w:spacing w:after="0"/>
        <w:ind w:left="0"/>
        <w:jc w:val="both"/>
      </w:pPr>
      <w:r>
        <w:rPr>
          <w:rFonts w:ascii="Times New Roman"/>
          <w:b w:val="false"/>
          <w:i w:val="false"/>
          <w:color w:val="000000"/>
          <w:sz w:val="28"/>
        </w:rPr>
        <w:t>
      сроки выполнения каждого из мероприятий, предусмотренных планом мероприятий;</w:t>
      </w:r>
    </w:p>
    <w:bookmarkEnd w:id="79"/>
    <w:bookmarkStart w:name="z111" w:id="80"/>
    <w:p>
      <w:pPr>
        <w:spacing w:after="0"/>
        <w:ind w:left="0"/>
        <w:jc w:val="both"/>
      </w:pPr>
      <w:r>
        <w:rPr>
          <w:rFonts w:ascii="Times New Roman"/>
          <w:b w:val="false"/>
          <w:i w:val="false"/>
          <w:color w:val="000000"/>
          <w:sz w:val="28"/>
        </w:rPr>
        <w:t>
      прогноз основных финансовых показателей эмитента;</w:t>
      </w:r>
    </w:p>
    <w:bookmarkEnd w:id="80"/>
    <w:bookmarkStart w:name="z112" w:id="81"/>
    <w:p>
      <w:pPr>
        <w:spacing w:after="0"/>
        <w:ind w:left="0"/>
        <w:jc w:val="both"/>
      </w:pPr>
      <w:r>
        <w:rPr>
          <w:rFonts w:ascii="Times New Roman"/>
          <w:b w:val="false"/>
          <w:i w:val="false"/>
          <w:color w:val="000000"/>
          <w:sz w:val="28"/>
        </w:rPr>
        <w:t>
      перечень лиц, ответственных за выполнение мероприятий, предусмотренных планом мероприятий.</w:t>
      </w:r>
    </w:p>
    <w:bookmarkEnd w:id="81"/>
    <w:bookmarkStart w:name="z113" w:id="82"/>
    <w:p>
      <w:pPr>
        <w:spacing w:after="0"/>
        <w:ind w:left="0"/>
        <w:jc w:val="both"/>
      </w:pPr>
      <w:r>
        <w:rPr>
          <w:rFonts w:ascii="Times New Roman"/>
          <w:b w:val="false"/>
          <w:i w:val="false"/>
          <w:color w:val="000000"/>
          <w:sz w:val="28"/>
        </w:rPr>
        <w:t>
      Дополнительные требования в отношении плана мероприятий эмитента устанавливаются внутренними документами фондовой биржи.</w:t>
      </w:r>
    </w:p>
    <w:bookmarkEnd w:id="82"/>
    <w:bookmarkStart w:name="z114" w:id="83"/>
    <w:p>
      <w:pPr>
        <w:spacing w:after="0"/>
        <w:ind w:left="0"/>
        <w:jc w:val="both"/>
      </w:pPr>
      <w:r>
        <w:rPr>
          <w:rFonts w:ascii="Times New Roman"/>
          <w:b w:val="false"/>
          <w:i w:val="false"/>
          <w:color w:val="000000"/>
          <w:sz w:val="28"/>
        </w:rPr>
        <w:t>
      Требования, установленные в настоящем пункте, не распространяются на банки второго уровня, находящиеся в процессе реструктуризации.</w:t>
      </w:r>
    </w:p>
    <w:bookmarkEnd w:id="83"/>
    <w:bookmarkStart w:name="z115" w:id="84"/>
    <w:p>
      <w:pPr>
        <w:spacing w:after="0"/>
        <w:ind w:left="0"/>
        <w:jc w:val="both"/>
      </w:pPr>
      <w:r>
        <w:rPr>
          <w:rFonts w:ascii="Times New Roman"/>
          <w:b w:val="false"/>
          <w:i w:val="false"/>
          <w:color w:val="000000"/>
          <w:sz w:val="28"/>
        </w:rPr>
        <w:t>
      21. Перевод ценных бумаг банка второго уровня, находящегося в процессе реструктуризации, в сегмент "Буфер для долговых ценных бумаг" официального списка фондовой биржи производится на основании заявления банка второго уровня, подписанного руководителем исполнительного органа либо лицом, который исполняет обязанности руководителя исполнительного органа банка второго уровня, при одобрении данного перевода органом фондовой биржи, в компетенцию которого входит рассмотрение вопросов листинга, делистинга или смены категории списка ценных бумаг (далее – листинговая комиссия).";</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117" w:id="85"/>
    <w:p>
      <w:pPr>
        <w:spacing w:after="0"/>
        <w:ind w:left="0"/>
        <w:jc w:val="both"/>
      </w:pPr>
      <w:r>
        <w:rPr>
          <w:rFonts w:ascii="Times New Roman"/>
          <w:b w:val="false"/>
          <w:i w:val="false"/>
          <w:color w:val="000000"/>
          <w:sz w:val="28"/>
        </w:rPr>
        <w:t>
      "24. Все выпуски долговых ценных бумаг эмитента в случае принятия листинговой комиссией плана мероприятий подлежат переводу в сегмент "Буфер для долговых ценных бумаг" официального списка фондовой биржи, а в случае отклонения листинговой комиссией плана мероприятий - делистингу.</w:t>
      </w:r>
    </w:p>
    <w:bookmarkEnd w:id="85"/>
    <w:bookmarkStart w:name="z118" w:id="86"/>
    <w:p>
      <w:pPr>
        <w:spacing w:after="0"/>
        <w:ind w:left="0"/>
        <w:jc w:val="both"/>
      </w:pPr>
      <w:r>
        <w:rPr>
          <w:rFonts w:ascii="Times New Roman"/>
          <w:b w:val="false"/>
          <w:i w:val="false"/>
          <w:color w:val="000000"/>
          <w:sz w:val="28"/>
        </w:rPr>
        <w:t>
      25. В период нахождения ценных бумаг эмитента в сегменте "Буфер для долговых ценных бумаг" официального списка фондовой биржи эмитенту разрешается вносить изменения в план мероприятий, которые утверждаются советом директоров эмитента (наблюдательным советом эмитента, созданного в иной, помимо акционерного общества, организационно-правовой форме).";</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120" w:id="87"/>
    <w:p>
      <w:pPr>
        <w:spacing w:after="0"/>
        <w:ind w:left="0"/>
        <w:jc w:val="both"/>
      </w:pPr>
      <w:r>
        <w:rPr>
          <w:rFonts w:ascii="Times New Roman"/>
          <w:b w:val="false"/>
          <w:i w:val="false"/>
          <w:color w:val="000000"/>
          <w:sz w:val="28"/>
        </w:rPr>
        <w:t>
      "27. Решение листинговой комиссии об отклонении изменений в план мероприятий содержит информацию о том, что ценные бумаги эмитента остаются в сегменте "Буфер для долговых ценных бумаг" официального списка фондовой биржи в случае отсутствия оснований для их делистинга в соответствии с пунктом 35 Требований.</w:t>
      </w:r>
    </w:p>
    <w:bookmarkEnd w:id="87"/>
    <w:bookmarkStart w:name="z121" w:id="88"/>
    <w:p>
      <w:pPr>
        <w:spacing w:after="0"/>
        <w:ind w:left="0"/>
        <w:jc w:val="both"/>
      </w:pPr>
      <w:r>
        <w:rPr>
          <w:rFonts w:ascii="Times New Roman"/>
          <w:b w:val="false"/>
          <w:i w:val="false"/>
          <w:color w:val="000000"/>
          <w:sz w:val="28"/>
        </w:rPr>
        <w:t>
      28. В случае устранения эмитентом оснований для перевода его ценных бумаг в сегмент "Буфер для долговых ценных бумаг" официального списка фондовой биржи либо делистинга и представления подтверждающих документов фондовой бирже до момента принятия решения о переводе в сегмент "Буфер для долговых ценных бумаг" официального списка фондовой биржи либо делистинге ценных бумаг, данные ценные бумаги остаются в категории официального списка фондовой биржи, в которой они находились на момент возникновения оснований для перевода долговых ценных бумаг эмитента в сегмент "Буфер для долговых ценных бумаг" официального списка фондовой биржи, предусмотренных в пункте 16 Требований.</w:t>
      </w:r>
    </w:p>
    <w:bookmarkEnd w:id="88"/>
    <w:bookmarkStart w:name="z122" w:id="89"/>
    <w:p>
      <w:pPr>
        <w:spacing w:after="0"/>
        <w:ind w:left="0"/>
        <w:jc w:val="both"/>
      </w:pPr>
      <w:r>
        <w:rPr>
          <w:rFonts w:ascii="Times New Roman"/>
          <w:b w:val="false"/>
          <w:i w:val="false"/>
          <w:color w:val="000000"/>
          <w:sz w:val="28"/>
        </w:rPr>
        <w:t>
      29. Максимальный срок нахождения ценных бумаг в сегменте "Буфер для долговых ценных бумаг" официального списка фондовой биржи для ценных бумаг, которые находились на площадках "Основная" и "Частное размещение", составляет 12 (двенадцать) месяцев с даты принятия решения о переводе ценных бумаг эмитента в сегмент "Буфер для долговых ценных бумаг" официального списка фондовой биржи, для ценных бумаг, которые находились на иных площадках – 24 (двадцать четыре) месяца с указанной даты.</w:t>
      </w:r>
    </w:p>
    <w:bookmarkEnd w:id="89"/>
    <w:bookmarkStart w:name="z123" w:id="90"/>
    <w:p>
      <w:pPr>
        <w:spacing w:after="0"/>
        <w:ind w:left="0"/>
        <w:jc w:val="both"/>
      </w:pPr>
      <w:r>
        <w:rPr>
          <w:rFonts w:ascii="Times New Roman"/>
          <w:b w:val="false"/>
          <w:i w:val="false"/>
          <w:color w:val="000000"/>
          <w:sz w:val="28"/>
        </w:rPr>
        <w:t>
      30. В период нахождения ценных бумаг в сегменте "Буфер для долговых ценных бумаг" официального списка фондовой биржи эмитент (инициатор допуска) на ежеквартальной основе и по официальному запросу фондовой биржи представляет фондовой бирже:</w:t>
      </w:r>
    </w:p>
    <w:bookmarkEnd w:id="90"/>
    <w:bookmarkStart w:name="z124" w:id="91"/>
    <w:p>
      <w:pPr>
        <w:spacing w:after="0"/>
        <w:ind w:left="0"/>
        <w:jc w:val="both"/>
      </w:pPr>
      <w:r>
        <w:rPr>
          <w:rFonts w:ascii="Times New Roman"/>
          <w:b w:val="false"/>
          <w:i w:val="false"/>
          <w:color w:val="000000"/>
          <w:sz w:val="28"/>
        </w:rPr>
        <w:t>
      1) отчетность и информацию, перечень которых определяется внутренними документами фондовой биржи и листинговым договором, содержащими в том числе сведения о существенных событиях в деятельности эмитента;</w:t>
      </w:r>
    </w:p>
    <w:bookmarkEnd w:id="91"/>
    <w:bookmarkStart w:name="z125" w:id="92"/>
    <w:p>
      <w:pPr>
        <w:spacing w:after="0"/>
        <w:ind w:left="0"/>
        <w:jc w:val="both"/>
      </w:pPr>
      <w:r>
        <w:rPr>
          <w:rFonts w:ascii="Times New Roman"/>
          <w:b w:val="false"/>
          <w:i w:val="false"/>
          <w:color w:val="000000"/>
          <w:sz w:val="28"/>
        </w:rPr>
        <w:t>
      2) сведения о выполнении мероприятий, предусмотренных планом мероприятий.</w:t>
      </w:r>
    </w:p>
    <w:bookmarkEnd w:id="92"/>
    <w:bookmarkStart w:name="z126" w:id="93"/>
    <w:p>
      <w:pPr>
        <w:spacing w:after="0"/>
        <w:ind w:left="0"/>
        <w:jc w:val="both"/>
      </w:pPr>
      <w:r>
        <w:rPr>
          <w:rFonts w:ascii="Times New Roman"/>
          <w:b w:val="false"/>
          <w:i w:val="false"/>
          <w:color w:val="000000"/>
          <w:sz w:val="28"/>
        </w:rPr>
        <w:t>
      31. В случае устранения оснований для перевода ценных бумаг эмитента, которые ранее находились на площадках "Основная" или "Частное размещение", в сегмент "Буфер для долговых ценных бумаг" официального списка фондовой биржи в срок, установленный пунктом 29 Требований, данные ценные бумаги на основании решения листинговой комиссии переводятся из сегмента "Буфер для долговых ценных бумаг" официального списка фондовой биржи в соответствующую категорию сектора "долговые ценные бумаги" площадки "Основная" или "Частное размещение" официального списка фондовой биржи, в которой они находились ранее, а при несоответствии требованиям данной категории, переводятся в соответствующую категорию сектора "долговые ценные бумаги" площадки "Альтернативная" официального списка фондовой биржи.</w:t>
      </w:r>
    </w:p>
    <w:bookmarkEnd w:id="93"/>
    <w:bookmarkStart w:name="z127" w:id="94"/>
    <w:p>
      <w:pPr>
        <w:spacing w:after="0"/>
        <w:ind w:left="0"/>
        <w:jc w:val="both"/>
      </w:pPr>
      <w:r>
        <w:rPr>
          <w:rFonts w:ascii="Times New Roman"/>
          <w:b w:val="false"/>
          <w:i w:val="false"/>
          <w:color w:val="000000"/>
          <w:sz w:val="28"/>
        </w:rPr>
        <w:t>
      32. В случае устранения оснований для перевода ценных бумаг эмитента, которые ранее находились на площадке "Альтернативная", в сегмент "Буфер для долговых ценных бумаг" официального списка фондовой биржи в срок, установленный пунктом 29 Требований, данные ценные бумаги на основании решения листинговой комиссии переводятся из сегмента "Буфер для долговых ценных бумаг" официального списка фондовой биржи в соответствующую категорию сектора "долговые ценные бумаги" площадки "Альтернативная" официального списка фондовой биржи, в которой они находились ранее, а при несоответствии требованиям данной категории подвергаются делистингу.</w:t>
      </w:r>
    </w:p>
    <w:bookmarkEnd w:id="94"/>
    <w:bookmarkStart w:name="z128" w:id="95"/>
    <w:p>
      <w:pPr>
        <w:spacing w:after="0"/>
        <w:ind w:left="0"/>
        <w:jc w:val="both"/>
      </w:pPr>
      <w:r>
        <w:rPr>
          <w:rFonts w:ascii="Times New Roman"/>
          <w:b w:val="false"/>
          <w:i w:val="false"/>
          <w:color w:val="000000"/>
          <w:sz w:val="28"/>
        </w:rPr>
        <w:t>
      33. В случае проведения реструктуризации обязательств эмитента основанием для перевода его ценных бумаг из сегмента "Буфер для долговых ценных бумаг" официального списка фондовой биржи в категорию, в которой они находились ранее, является решение листинговой комиссии, принятое на основании документов, которые подтверждают завершение реструктуризации обязательств эмитента и соответствие этого эмитента и его ценных бумаг требованиям данной категории сектора "долговые ценные бумаги" официального списка фондовой биржи.</w:t>
      </w:r>
    </w:p>
    <w:bookmarkEnd w:id="95"/>
    <w:bookmarkStart w:name="z129" w:id="96"/>
    <w:p>
      <w:pPr>
        <w:spacing w:after="0"/>
        <w:ind w:left="0"/>
        <w:jc w:val="both"/>
      </w:pPr>
      <w:r>
        <w:rPr>
          <w:rFonts w:ascii="Times New Roman"/>
          <w:b w:val="false"/>
          <w:i w:val="false"/>
          <w:color w:val="000000"/>
          <w:sz w:val="28"/>
        </w:rPr>
        <w:t>
      34. Если эмитент во время нахождения его ценных в сегменте "Буфер для долговых ценных бумаг" официального списка фондовой биржи объявил о реструктуризации обязательств, его ценные бумаги остаются в сегменте "Буфер для долговых ценных бумаг" официального списка фондовой биржи.</w:t>
      </w:r>
    </w:p>
    <w:bookmarkEnd w:id="96"/>
    <w:bookmarkStart w:name="z130" w:id="97"/>
    <w:p>
      <w:pPr>
        <w:spacing w:after="0"/>
        <w:ind w:left="0"/>
        <w:jc w:val="both"/>
      </w:pPr>
      <w:r>
        <w:rPr>
          <w:rFonts w:ascii="Times New Roman"/>
          <w:b w:val="false"/>
          <w:i w:val="false"/>
          <w:color w:val="000000"/>
          <w:sz w:val="28"/>
        </w:rPr>
        <w:t>
      35. Ценные бумаги эмитента подлежат делистингу в следующих случаях:</w:t>
      </w:r>
    </w:p>
    <w:bookmarkEnd w:id="97"/>
    <w:bookmarkStart w:name="z131" w:id="98"/>
    <w:p>
      <w:pPr>
        <w:spacing w:after="0"/>
        <w:ind w:left="0"/>
        <w:jc w:val="both"/>
      </w:pPr>
      <w:r>
        <w:rPr>
          <w:rFonts w:ascii="Times New Roman"/>
          <w:b w:val="false"/>
          <w:i w:val="false"/>
          <w:color w:val="000000"/>
          <w:sz w:val="28"/>
        </w:rPr>
        <w:t>
      1) прекращение деятельности эмитента в результате реорганизации или ликвидации либо нахождение эмитента в процессе принудительной ликвидации;</w:t>
      </w:r>
    </w:p>
    <w:bookmarkEnd w:id="98"/>
    <w:bookmarkStart w:name="z132" w:id="99"/>
    <w:p>
      <w:pPr>
        <w:spacing w:after="0"/>
        <w:ind w:left="0"/>
        <w:jc w:val="both"/>
      </w:pPr>
      <w:r>
        <w:rPr>
          <w:rFonts w:ascii="Times New Roman"/>
          <w:b w:val="false"/>
          <w:i w:val="false"/>
          <w:color w:val="000000"/>
          <w:sz w:val="28"/>
        </w:rPr>
        <w:t>
      2) дефолт эмитента по выплате вознаграждения по своим обязательствам (за исключением вознаграждения за последний купонный период) и непредставления эмитентом плана мероприятий, предусмотренного в пункте 20 Требований;</w:t>
      </w:r>
    </w:p>
    <w:bookmarkEnd w:id="99"/>
    <w:bookmarkStart w:name="z133" w:id="100"/>
    <w:p>
      <w:pPr>
        <w:spacing w:after="0"/>
        <w:ind w:left="0"/>
        <w:jc w:val="both"/>
      </w:pPr>
      <w:r>
        <w:rPr>
          <w:rFonts w:ascii="Times New Roman"/>
          <w:b w:val="false"/>
          <w:i w:val="false"/>
          <w:color w:val="000000"/>
          <w:sz w:val="28"/>
        </w:rPr>
        <w:t>
      3) непредставление эмитентом плана мероприятий, предусмотренного в пункте 20 Требований либо заявления банка второго уровня, предусмотренного в пункте 21 Требований, при возникновении основания, указанного в подпункте 2) пункта 16 Требований;</w:t>
      </w:r>
    </w:p>
    <w:bookmarkEnd w:id="100"/>
    <w:bookmarkStart w:name="z134" w:id="101"/>
    <w:p>
      <w:pPr>
        <w:spacing w:after="0"/>
        <w:ind w:left="0"/>
        <w:jc w:val="both"/>
      </w:pPr>
      <w:r>
        <w:rPr>
          <w:rFonts w:ascii="Times New Roman"/>
          <w:b w:val="false"/>
          <w:i w:val="false"/>
          <w:color w:val="000000"/>
          <w:sz w:val="28"/>
        </w:rPr>
        <w:t>
      4) отклонение листинговой комиссией плана мероприятий, указанного в пункте 20 Требований;</w:t>
      </w:r>
    </w:p>
    <w:bookmarkEnd w:id="101"/>
    <w:bookmarkStart w:name="z135" w:id="102"/>
    <w:p>
      <w:pPr>
        <w:spacing w:after="0"/>
        <w:ind w:left="0"/>
        <w:jc w:val="both"/>
      </w:pPr>
      <w:r>
        <w:rPr>
          <w:rFonts w:ascii="Times New Roman"/>
          <w:b w:val="false"/>
          <w:i w:val="false"/>
          <w:color w:val="000000"/>
          <w:sz w:val="28"/>
        </w:rPr>
        <w:t>
      5) дефолт эмитента по своим обязательствам во время нахождения его ценных бумаг в сегменте "Буфер для долговых ценных бумаг" официального списка фондовой биржи в случае, если советом директоров эмитента (наблюдательным советом эмитента, созданного в иной помимо акционерного общества, организационно-правовой форме) не принято решение о реструктуризации обязательств;</w:t>
      </w:r>
    </w:p>
    <w:bookmarkEnd w:id="102"/>
    <w:bookmarkStart w:name="z136" w:id="103"/>
    <w:p>
      <w:pPr>
        <w:spacing w:after="0"/>
        <w:ind w:left="0"/>
        <w:jc w:val="both"/>
      </w:pPr>
      <w:r>
        <w:rPr>
          <w:rFonts w:ascii="Times New Roman"/>
          <w:b w:val="false"/>
          <w:i w:val="false"/>
          <w:color w:val="000000"/>
          <w:sz w:val="28"/>
        </w:rPr>
        <w:t>
      6) установление фондовой биржей факта невозможности устранения оснований для перевода в сегмент "Буфер для долговых ценных бумаг" официального списка фондовой биржи, предусмотренных в пункте 16 Требований;</w:t>
      </w:r>
    </w:p>
    <w:bookmarkEnd w:id="103"/>
    <w:bookmarkStart w:name="z137" w:id="104"/>
    <w:p>
      <w:pPr>
        <w:spacing w:after="0"/>
        <w:ind w:left="0"/>
        <w:jc w:val="both"/>
      </w:pPr>
      <w:r>
        <w:rPr>
          <w:rFonts w:ascii="Times New Roman"/>
          <w:b w:val="false"/>
          <w:i w:val="false"/>
          <w:color w:val="000000"/>
          <w:sz w:val="28"/>
        </w:rPr>
        <w:t>
      7) неустранение оснований для перевода долговых ценных бумаг эмитента в сегмент "Буфер для долговых ценных бумаг" официального списка фондовой биржи, предусмотренных в пункте 16 Требований, в срок, установленный пунктом 29 Требований;</w:t>
      </w:r>
    </w:p>
    <w:bookmarkEnd w:id="104"/>
    <w:bookmarkStart w:name="z138" w:id="105"/>
    <w:p>
      <w:pPr>
        <w:spacing w:after="0"/>
        <w:ind w:left="0"/>
        <w:jc w:val="both"/>
      </w:pPr>
      <w:r>
        <w:rPr>
          <w:rFonts w:ascii="Times New Roman"/>
          <w:b w:val="false"/>
          <w:i w:val="false"/>
          <w:color w:val="000000"/>
          <w:sz w:val="28"/>
        </w:rPr>
        <w:t>
      8) признание судом эмитента банкротом;</w:t>
      </w:r>
    </w:p>
    <w:bookmarkEnd w:id="105"/>
    <w:bookmarkStart w:name="z139" w:id="106"/>
    <w:p>
      <w:pPr>
        <w:spacing w:after="0"/>
        <w:ind w:left="0"/>
        <w:jc w:val="both"/>
      </w:pPr>
      <w:r>
        <w:rPr>
          <w:rFonts w:ascii="Times New Roman"/>
          <w:b w:val="false"/>
          <w:i w:val="false"/>
          <w:color w:val="000000"/>
          <w:sz w:val="28"/>
        </w:rPr>
        <w:t>
      9) арест имущества эмитента в размере, превышающем 50 (пятьдесят) процентов активов данного эмитента;</w:t>
      </w:r>
    </w:p>
    <w:bookmarkEnd w:id="106"/>
    <w:bookmarkStart w:name="z140" w:id="107"/>
    <w:p>
      <w:pPr>
        <w:spacing w:after="0"/>
        <w:ind w:left="0"/>
        <w:jc w:val="both"/>
      </w:pPr>
      <w:r>
        <w:rPr>
          <w:rFonts w:ascii="Times New Roman"/>
          <w:b w:val="false"/>
          <w:i w:val="false"/>
          <w:color w:val="000000"/>
          <w:sz w:val="28"/>
        </w:rPr>
        <w:t>
      10) непредставление эмитентом (инициатором допуска) информации во время нахождения эмитента и его ценных бумаг в сегменте "Буфер для долговых ценных бумаг" официального списка фондовой биржи, перечень которой указан в пункте 30 Требований;</w:t>
      </w:r>
    </w:p>
    <w:bookmarkEnd w:id="107"/>
    <w:bookmarkStart w:name="z141" w:id="108"/>
    <w:p>
      <w:pPr>
        <w:spacing w:after="0"/>
        <w:ind w:left="0"/>
        <w:jc w:val="both"/>
      </w:pPr>
      <w:r>
        <w:rPr>
          <w:rFonts w:ascii="Times New Roman"/>
          <w:b w:val="false"/>
          <w:i w:val="false"/>
          <w:color w:val="000000"/>
          <w:sz w:val="28"/>
        </w:rPr>
        <w:t>
      11) невыполнение мероприятий, предусмотренных планом мероприятий;</w:t>
      </w:r>
    </w:p>
    <w:bookmarkEnd w:id="108"/>
    <w:bookmarkStart w:name="z142" w:id="109"/>
    <w:p>
      <w:pPr>
        <w:spacing w:after="0"/>
        <w:ind w:left="0"/>
        <w:jc w:val="both"/>
      </w:pPr>
      <w:r>
        <w:rPr>
          <w:rFonts w:ascii="Times New Roman"/>
          <w:b w:val="false"/>
          <w:i w:val="false"/>
          <w:color w:val="000000"/>
          <w:sz w:val="28"/>
        </w:rPr>
        <w:t>
      12) иные случаи, предусмотренные внутренними документами фондовой биржи.".</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