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e426" w14:textId="43ce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развития финансового рынка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28 августа 2025 года № 45. Зарегистрировано в Министерстве юстиции Республики Казахстан 29 августа 2025 года № 36740</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развития финансового рынка, в которые вносятся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рынка ценных бумаг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w:t>
            </w:r>
          </w:p>
          <w:p>
            <w:pPr>
              <w:spacing w:after="20"/>
              <w:ind w:left="20"/>
              <w:jc w:val="both"/>
            </w:pPr>
          </w:p>
          <w:p>
            <w:pPr>
              <w:spacing w:after="20"/>
              <w:ind w:left="20"/>
              <w:jc w:val="both"/>
            </w:pPr>
            <w:r>
              <w:rPr>
                <w:rFonts w:ascii="Times New Roman"/>
                <w:b w:val="false"/>
                <w:i/>
                <w:color w:val="000000"/>
                <w:sz w:val="20"/>
              </w:rPr>
              <w:t xml:space="preserve">Республики Казахстан по регулированию и </w:t>
            </w:r>
          </w:p>
          <w:p>
            <w:pPr>
              <w:spacing w:after="0"/>
              <w:ind w:left="0"/>
              <w:jc w:val="left"/>
            </w:pPr>
          </w:p>
          <w:p>
            <w:pPr>
              <w:spacing w:after="20"/>
              <w:ind w:left="20"/>
              <w:jc w:val="both"/>
            </w:pPr>
            <w:r>
              <w:rPr>
                <w:rFonts w:ascii="Times New Roman"/>
                <w:b w:val="false"/>
                <w:i/>
                <w:color w:val="000000"/>
                <w:sz w:val="20"/>
              </w:rPr>
              <w:t xml:space="preserve">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августа 2025 года № 45</w:t>
            </w:r>
          </w:p>
        </w:tc>
      </w:tr>
    </w:tbl>
    <w:bookmarkStart w:name="z14" w:id="8"/>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развития финансового рынка, в которые вносятся изменения</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21 августа 2004 года № 259 "Об утверждении Правил, условий и методики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а также Правил, форм и сроков предоставления акционерным инвестиционным фондом или управляющей компанией информации о стоимости и составе активов и обязательств, стоимости чистых активов инвестиционного фонда, а также количестве держателей паев и доходности пая" (зарегистрировано в Реестре государственной регистрации нормативных правовых актов под № 3124) следующее изменение:</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условиях и методики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утвержденных указанным постановлением:</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w:t>
      </w:r>
      <w:r>
        <w:rPr>
          <w:rFonts w:ascii="Times New Roman"/>
          <w:b w:val="false"/>
          <w:i w:val="false"/>
          <w:color w:val="000000"/>
          <w:sz w:val="28"/>
        </w:rPr>
        <w:t xml:space="preserve"> признания обесценения или уменьшения стоимости ценных бумаг согласно </w:t>
      </w:r>
      <w:r>
        <w:rPr>
          <w:rFonts w:ascii="Times New Roman"/>
          <w:b w:val="false"/>
          <w:i w:val="false"/>
          <w:color w:val="000000"/>
          <w:sz w:val="28"/>
        </w:rPr>
        <w:t>приложению 1</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12"/>
    <w:bookmarkStart w:name="z19"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включенные в сегмент "Буфер для долговых ценных бумаг"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 w:id="14"/>
    <w:p>
      <w:pPr>
        <w:spacing w:after="0"/>
        <w:ind w:left="0"/>
        <w:jc w:val="both"/>
      </w:pPr>
      <w:r>
        <w:rPr>
          <w:rFonts w:ascii="Times New Roman"/>
          <w:b w:val="false"/>
          <w:i w:val="false"/>
          <w:color w:val="000000"/>
          <w:sz w:val="28"/>
        </w:rPr>
        <w:t>
      ".</w:t>
      </w:r>
    </w:p>
    <w:bookmarkEnd w:id="14"/>
    <w:bookmarkStart w:name="z21" w:id="15"/>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октября 2008 года № 170 "Об утверждении Правил осуществления деятельности организации торговли с ценными бумагами и иными финансовыми инструментами" (зарегистрировано в Реестре государственной регистрации нормативных правовых актов под № 5406) следующие изменения:</w:t>
      </w:r>
    </w:p>
    <w:bookmarkEnd w:id="15"/>
    <w:bookmarkStart w:name="z22"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организации торговли с ценными бумагами и иными финансовыми инструментами, утвержденных указанным постановлением: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4" w:id="17"/>
    <w:p>
      <w:pPr>
        <w:spacing w:after="0"/>
        <w:ind w:left="0"/>
        <w:jc w:val="both"/>
      </w:pPr>
      <w:r>
        <w:rPr>
          <w:rFonts w:ascii="Times New Roman"/>
          <w:b w:val="false"/>
          <w:i w:val="false"/>
          <w:color w:val="000000"/>
          <w:sz w:val="28"/>
        </w:rPr>
        <w:t>
      "7. Помимо условий, предусмотренных пунктом 6 Правил, члены фондовой биржи:</w:t>
      </w:r>
    </w:p>
    <w:bookmarkEnd w:id="17"/>
    <w:bookmarkStart w:name="z25" w:id="18"/>
    <w:p>
      <w:pPr>
        <w:spacing w:after="0"/>
        <w:ind w:left="0"/>
        <w:jc w:val="both"/>
      </w:pPr>
      <w:r>
        <w:rPr>
          <w:rFonts w:ascii="Times New Roman"/>
          <w:b w:val="false"/>
          <w:i w:val="false"/>
          <w:color w:val="000000"/>
          <w:sz w:val="28"/>
        </w:rPr>
        <w:t>
      1) заключают сделки на проводимых фондовой биржей торгах с финансовыми инструментами только на принципах справедливой и равноправной торговли, не ущемляя интересы других членов фондовой биржи, эмитентов ценных бумаг и инвесторов;</w:t>
      </w:r>
    </w:p>
    <w:bookmarkEnd w:id="18"/>
    <w:bookmarkStart w:name="z26" w:id="19"/>
    <w:p>
      <w:pPr>
        <w:spacing w:after="0"/>
        <w:ind w:left="0"/>
        <w:jc w:val="both"/>
      </w:pPr>
      <w:r>
        <w:rPr>
          <w:rFonts w:ascii="Times New Roman"/>
          <w:b w:val="false"/>
          <w:i w:val="false"/>
          <w:color w:val="000000"/>
          <w:sz w:val="28"/>
        </w:rPr>
        <w:t>
      2) своевременно и полностью исполняют свои обязательства перед расчетными организациями фондовой биржи путем поставки активов для исполнения заключенных ими сделок с финансовыми инструментами на организованном рынке ценных бумаг, а также иные обязательства в соответствии с законодательством Республики Казахстан о рынке ценных бумаг и внутренними документами фондовой биржи;</w:t>
      </w:r>
    </w:p>
    <w:bookmarkEnd w:id="19"/>
    <w:bookmarkStart w:name="z27" w:id="20"/>
    <w:p>
      <w:pPr>
        <w:spacing w:after="0"/>
        <w:ind w:left="0"/>
        <w:jc w:val="both"/>
      </w:pPr>
      <w:r>
        <w:rPr>
          <w:rFonts w:ascii="Times New Roman"/>
          <w:b w:val="false"/>
          <w:i w:val="false"/>
          <w:color w:val="000000"/>
          <w:sz w:val="28"/>
        </w:rPr>
        <w:t>
      3) в своей деятельности руководствуются правилами этики фондовой биржи и принципами добросовестной конкуренции в отношении других членов фондовой биржи (их клиентов), своих клиентов и фондовой биржи, а также не оказывают прямого и косвенного воздействия на них в целях изменения их рыночного поведения;</w:t>
      </w:r>
    </w:p>
    <w:bookmarkEnd w:id="20"/>
    <w:bookmarkStart w:name="z28" w:id="21"/>
    <w:p>
      <w:pPr>
        <w:spacing w:after="0"/>
        <w:ind w:left="0"/>
        <w:jc w:val="both"/>
      </w:pPr>
      <w:r>
        <w:rPr>
          <w:rFonts w:ascii="Times New Roman"/>
          <w:b w:val="false"/>
          <w:i w:val="false"/>
          <w:color w:val="000000"/>
          <w:sz w:val="28"/>
        </w:rPr>
        <w:t>
      4) предоставляют уполномоченному органу запрашиваемую информацию в сроки, указанные в запросе, в бумажной и (или) электронной формах.";</w:t>
      </w:r>
    </w:p>
    <w:bookmarkEnd w:id="21"/>
    <w:bookmarkStart w:name="z29" w:id="2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22"/>
    <w:bookmarkStart w:name="z30" w:id="23"/>
    <w:p>
      <w:pPr>
        <w:spacing w:after="0"/>
        <w:ind w:left="0"/>
        <w:jc w:val="both"/>
      </w:pPr>
      <w:r>
        <w:rPr>
          <w:rFonts w:ascii="Times New Roman"/>
          <w:b w:val="false"/>
          <w:i w:val="false"/>
          <w:color w:val="000000"/>
          <w:sz w:val="28"/>
        </w:rPr>
        <w:t>
      "10. Внутренними документами фондовой биржи предусмотрены условия и порядок приостановления или прекращения членства, в том числе в случае неоднократного (два и более раза в течение двенадцати последовательных календарных месяцев) невыполнения требований подпункта 4) пункта 7 Правил.";</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43-2</w:t>
      </w:r>
      <w:r>
        <w:rPr>
          <w:rFonts w:ascii="Times New Roman"/>
          <w:b w:val="false"/>
          <w:i w:val="false"/>
          <w:color w:val="000000"/>
          <w:sz w:val="28"/>
        </w:rPr>
        <w:t xml:space="preserve"> изложить в следующей редакции:</w:t>
      </w:r>
    </w:p>
    <w:bookmarkStart w:name="z32" w:id="24"/>
    <w:p>
      <w:pPr>
        <w:spacing w:after="0"/>
        <w:ind w:left="0"/>
        <w:jc w:val="both"/>
      </w:pPr>
      <w:r>
        <w:rPr>
          <w:rFonts w:ascii="Times New Roman"/>
          <w:b w:val="false"/>
          <w:i w:val="false"/>
          <w:color w:val="000000"/>
          <w:sz w:val="28"/>
        </w:rPr>
        <w:t>
      "43-2. Фондовая биржа принимает решение об отказе брокеру и (или) дилеру - члену фондовой биржи в присвоении ему статуса маркет-мейкера по финансовому инструменту определенного наименования, при возникновении одного из следующих оснований:</w:t>
      </w:r>
    </w:p>
    <w:bookmarkEnd w:id="24"/>
    <w:bookmarkStart w:name="z33" w:id="25"/>
    <w:p>
      <w:pPr>
        <w:spacing w:after="0"/>
        <w:ind w:left="0"/>
        <w:jc w:val="both"/>
      </w:pPr>
      <w:r>
        <w:rPr>
          <w:rFonts w:ascii="Times New Roman"/>
          <w:b w:val="false"/>
          <w:i w:val="false"/>
          <w:color w:val="000000"/>
          <w:sz w:val="28"/>
        </w:rPr>
        <w:t xml:space="preserve">
      1) несоответствие заявления брокера и (или) дилера - члена фондовой биржи требованиям </w:t>
      </w:r>
      <w:r>
        <w:rPr>
          <w:rFonts w:ascii="Times New Roman"/>
          <w:b w:val="false"/>
          <w:i w:val="false"/>
          <w:color w:val="000000"/>
          <w:sz w:val="28"/>
        </w:rPr>
        <w:t>пункта 43-1</w:t>
      </w:r>
      <w:r>
        <w:rPr>
          <w:rFonts w:ascii="Times New Roman"/>
          <w:b w:val="false"/>
          <w:i w:val="false"/>
          <w:color w:val="000000"/>
          <w:sz w:val="28"/>
        </w:rPr>
        <w:t xml:space="preserve"> Правил;</w:t>
      </w:r>
    </w:p>
    <w:bookmarkEnd w:id="25"/>
    <w:bookmarkStart w:name="z34" w:id="26"/>
    <w:p>
      <w:pPr>
        <w:spacing w:after="0"/>
        <w:ind w:left="0"/>
        <w:jc w:val="both"/>
      </w:pPr>
      <w:r>
        <w:rPr>
          <w:rFonts w:ascii="Times New Roman"/>
          <w:b w:val="false"/>
          <w:i w:val="false"/>
          <w:color w:val="000000"/>
          <w:sz w:val="28"/>
        </w:rPr>
        <w:t>
      2) несоблюдение брокером и (или) дилером - членом фондовой биржи в течение последовательных двенадцати месяцев норм законодательства Республики Казахстан о рынке ценных бумаг и (или) внутренних документов фондовой биржи в части манипулирования и (или) недобросовестного поведения и (или) неправомерного использования инсайдерской информации на рынке ценных бумаг в отношении финансового инструмента данного наименования;</w:t>
      </w:r>
    </w:p>
    <w:bookmarkEnd w:id="26"/>
    <w:bookmarkStart w:name="z35" w:id="27"/>
    <w:p>
      <w:pPr>
        <w:spacing w:after="0"/>
        <w:ind w:left="0"/>
        <w:jc w:val="both"/>
      </w:pPr>
      <w:r>
        <w:rPr>
          <w:rFonts w:ascii="Times New Roman"/>
          <w:b w:val="false"/>
          <w:i w:val="false"/>
          <w:color w:val="000000"/>
          <w:sz w:val="28"/>
        </w:rPr>
        <w:t>
      3) систематического (два и более раза в течение двенадцати последовательных месяцев) неисполнения брокером и (или) дилером - членом фондовой биржи его обязанностей маркет-мейкера в отношении финансового инструмента данного наименования.";</w:t>
      </w:r>
    </w:p>
    <w:bookmarkEnd w:id="27"/>
    <w:bookmarkStart w:name="z36" w:id="28"/>
    <w:p>
      <w:pPr>
        <w:spacing w:after="0"/>
        <w:ind w:left="0"/>
        <w:jc w:val="both"/>
      </w:pPr>
      <w:r>
        <w:rPr>
          <w:rFonts w:ascii="Times New Roman"/>
          <w:b w:val="false"/>
          <w:i w:val="false"/>
          <w:color w:val="000000"/>
          <w:sz w:val="28"/>
        </w:rPr>
        <w:t xml:space="preserve">
      подпункт 3) части первой </w:t>
      </w:r>
      <w:r>
        <w:rPr>
          <w:rFonts w:ascii="Times New Roman"/>
          <w:b w:val="false"/>
          <w:i w:val="false"/>
          <w:color w:val="000000"/>
          <w:sz w:val="28"/>
        </w:rPr>
        <w:t>пункта 46-1</w:t>
      </w:r>
      <w:r>
        <w:rPr>
          <w:rFonts w:ascii="Times New Roman"/>
          <w:b w:val="false"/>
          <w:i w:val="false"/>
          <w:color w:val="000000"/>
          <w:sz w:val="28"/>
        </w:rPr>
        <w:t xml:space="preserve"> изложить в следующей редакции:</w:t>
      </w:r>
    </w:p>
    <w:bookmarkEnd w:id="28"/>
    <w:bookmarkStart w:name="z37" w:id="29"/>
    <w:p>
      <w:pPr>
        <w:spacing w:after="0"/>
        <w:ind w:left="0"/>
        <w:jc w:val="both"/>
      </w:pPr>
      <w:r>
        <w:rPr>
          <w:rFonts w:ascii="Times New Roman"/>
          <w:b w:val="false"/>
          <w:i w:val="false"/>
          <w:color w:val="000000"/>
          <w:sz w:val="28"/>
        </w:rPr>
        <w:t>
      "3) несоблюдение брокером и (или) дилером - членом фондовой биржи норм законодательства Республики Казахстан о рынке ценных бумаг и (или) внутренних документов фондовой биржи в части манипулирования и (или) недобросовестного поведения и (или) неправомерного использования инсайдерской информации на рынке ценных бумаг в отношении финансового инструмента данного наименования;".</w:t>
      </w:r>
    </w:p>
    <w:bookmarkEnd w:id="29"/>
    <w:bookmarkStart w:name="z38" w:id="30"/>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2012 года № 282 "Об утверждении Правил публикации финансовой отчетности акционерными обществами и финансовыми организациями, отчетности по данным бухгалтерского учетами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(зарегистрировано в Реестре государственной регистрации нормативных правовых актов под № 8003) следующие изменения:</w:t>
      </w:r>
    </w:p>
    <w:bookmarkEnd w:id="30"/>
    <w:bookmarkStart w:name="z39" w:id="31"/>
    <w:p>
      <w:pPr>
        <w:spacing w:after="0"/>
        <w:ind w:left="0"/>
        <w:jc w:val="both"/>
      </w:pPr>
      <w:r>
        <w:rPr>
          <w:rFonts w:ascii="Times New Roman"/>
          <w:b w:val="false"/>
          <w:i w:val="false"/>
          <w:color w:val="000000"/>
          <w:sz w:val="28"/>
        </w:rPr>
        <w:t>
      заголовок изложить в следующей редакции:</w:t>
      </w:r>
    </w:p>
    <w:bookmarkEnd w:id="31"/>
    <w:bookmarkStart w:name="z40" w:id="32"/>
    <w:p>
      <w:pPr>
        <w:spacing w:after="0"/>
        <w:ind w:left="0"/>
        <w:jc w:val="both"/>
      </w:pPr>
      <w:r>
        <w:rPr>
          <w:rFonts w:ascii="Times New Roman"/>
          <w:b w:val="false"/>
          <w:i w:val="false"/>
          <w:color w:val="000000"/>
          <w:sz w:val="28"/>
        </w:rPr>
        <w:t>
      "Об утверждении Правил публикации финансовой отчетности акционерными обществами и финансовыми организациями,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2" w:id="3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статьей 76 Закона Республики Казахстан "О страховой деятельности" и </w:t>
      </w:r>
      <w:r>
        <w:rPr>
          <w:rFonts w:ascii="Times New Roman"/>
          <w:b w:val="false"/>
          <w:i w:val="false"/>
          <w:color w:val="000000"/>
          <w:sz w:val="28"/>
        </w:rPr>
        <w:t>подпунктом 14)</w:t>
      </w:r>
      <w:r>
        <w:rPr>
          <w:rFonts w:ascii="Times New Roman"/>
          <w:b w:val="false"/>
          <w:i w:val="false"/>
          <w:color w:val="000000"/>
          <w:sz w:val="28"/>
        </w:rPr>
        <w:t xml:space="preserve"> статьи 6-5 Закона Республики Казахстан "О государственном регулировании, контроле и надзоре финансового рынка и финансовых организаций"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33"/>
    <w:bookmarkStart w:name="z43"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публикации финансовой отчетности акционерными обществами и финансовыми организациями, отчетности по данным бухгалтерского учетами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утвержденных указанным постановлением:</w:t>
      </w:r>
    </w:p>
    <w:bookmarkEnd w:id="34"/>
    <w:bookmarkStart w:name="z44" w:id="35"/>
    <w:p>
      <w:pPr>
        <w:spacing w:after="0"/>
        <w:ind w:left="0"/>
        <w:jc w:val="both"/>
      </w:pPr>
      <w:r>
        <w:rPr>
          <w:rFonts w:ascii="Times New Roman"/>
          <w:b w:val="false"/>
          <w:i w:val="false"/>
          <w:color w:val="000000"/>
          <w:sz w:val="28"/>
        </w:rPr>
        <w:t>
      заголовок изложить в следующей редакции:</w:t>
      </w:r>
    </w:p>
    <w:bookmarkEnd w:id="35"/>
    <w:bookmarkStart w:name="z45" w:id="36"/>
    <w:p>
      <w:pPr>
        <w:spacing w:after="0"/>
        <w:ind w:left="0"/>
        <w:jc w:val="both"/>
      </w:pPr>
      <w:r>
        <w:rPr>
          <w:rFonts w:ascii="Times New Roman"/>
          <w:b w:val="false"/>
          <w:i w:val="false"/>
          <w:color w:val="000000"/>
          <w:sz w:val="28"/>
        </w:rPr>
        <w:t>
      "Правила публикации финансовой отчетности акционерными обществами и финансовыми организациями,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7" w:id="37"/>
    <w:p>
      <w:pPr>
        <w:spacing w:after="0"/>
        <w:ind w:left="0"/>
        <w:jc w:val="both"/>
      </w:pPr>
      <w:r>
        <w:rPr>
          <w:rFonts w:ascii="Times New Roman"/>
          <w:b w:val="false"/>
          <w:i w:val="false"/>
          <w:color w:val="000000"/>
          <w:sz w:val="28"/>
        </w:rPr>
        <w:t xml:space="preserve">
      "Настоящие Правила публикации финансовой отчетности акционерными обществами и финансовыми организациями,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(далее – Правила) разработаны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w:t>
      </w:r>
      <w:r>
        <w:rPr>
          <w:rFonts w:ascii="Times New Roman"/>
          <w:b w:val="false"/>
          <w:i w:val="false"/>
          <w:color w:val="000000"/>
          <w:sz w:val="28"/>
        </w:rPr>
        <w:t>"О страховой деятельности"</w:t>
      </w:r>
      <w:r>
        <w:rPr>
          <w:rFonts w:ascii="Times New Roman"/>
          <w:b w:val="false"/>
          <w:i w:val="false"/>
          <w:color w:val="000000"/>
          <w:sz w:val="28"/>
        </w:rPr>
        <w:t xml:space="preserve"> и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и устанавливают порядок, перечень и сроки публикации финансовой отчетности акционерными обществами и финансовыми организациями,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за исключением юридических лиц, исключительным видом деятельности которых является организация обменных операций с иностранной валютой, и юридических лиц, исключительной деятельностью которых является инкассация банкнот, монет и ценностей.";</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9" w:id="38"/>
    <w:p>
      <w:pPr>
        <w:spacing w:after="0"/>
        <w:ind w:left="0"/>
        <w:jc w:val="both"/>
      </w:pPr>
      <w:r>
        <w:rPr>
          <w:rFonts w:ascii="Times New Roman"/>
          <w:b w:val="false"/>
          <w:i w:val="false"/>
          <w:color w:val="000000"/>
          <w:sz w:val="28"/>
        </w:rPr>
        <w:t>
      "1. Акционерные общества и финансовые организации (за исключением банковских и страховых холдингов) ежегодно не позднее 31 августа года, следующего за отчетным годом, публикуют в средствах массовой информации или на своих официальных интернет-ресурсах соответствующие международным стандартам финансовой отчетности консолидированную годовую финансовую отчетность, а в случае отсутствия дочерней (дочерних) организации (организаций) – неконсолидированную годовую финансовую отчетность и аудиторский отчет.";</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1" w:id="39"/>
    <w:p>
      <w:pPr>
        <w:spacing w:after="0"/>
        <w:ind w:left="0"/>
        <w:jc w:val="both"/>
      </w:pPr>
      <w:r>
        <w:rPr>
          <w:rFonts w:ascii="Times New Roman"/>
          <w:b w:val="false"/>
          <w:i w:val="false"/>
          <w:color w:val="000000"/>
          <w:sz w:val="28"/>
        </w:rPr>
        <w:t>
      "2. Страховые организации, осуществляющие обязательное страхование гражданско-правовой ответственности перевозчика перед пассажирами, ежегодно дополнительно публикуют соответствующие международным стандартам финансовой отчетности консолидированную годовую финансовую отчетность, а в случае отсутствия дочерней (дочерних) организации (организаций) - неконсолидированную годовую финансовую отчетность и аудиторский отчет на казахском и русском языках не менее чем в двух периодических печатных изданиях, распространяемых на всей территории Республики Казахстан, или на своих официальных интернет-ресурсах.";</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3" w:id="40"/>
    <w:p>
      <w:pPr>
        <w:spacing w:after="0"/>
        <w:ind w:left="0"/>
        <w:jc w:val="both"/>
      </w:pPr>
      <w:r>
        <w:rPr>
          <w:rFonts w:ascii="Times New Roman"/>
          <w:b w:val="false"/>
          <w:i w:val="false"/>
          <w:color w:val="000000"/>
          <w:sz w:val="28"/>
        </w:rPr>
        <w:t xml:space="preserve">
      "3. Банки второго уровня, ценные бумаги которых допущены к обращению на иностранные фондовые биржи, и Акционерное общество "Банк Развития Казахстана" ежеквартально в течение квартала, следующего за отчетным кварталом, публикуют в средствах массовой информации или на своих официальных интернет-ресурсах соответствующие международным стандартам финансовой отчетности консолидированные бухгалтерский баланс и отчет о прибылях и убытках. </w:t>
      </w:r>
    </w:p>
    <w:bookmarkEnd w:id="40"/>
    <w:bookmarkStart w:name="z54" w:id="41"/>
    <w:p>
      <w:pPr>
        <w:spacing w:after="0"/>
        <w:ind w:left="0"/>
        <w:jc w:val="both"/>
      </w:pPr>
      <w:r>
        <w:rPr>
          <w:rFonts w:ascii="Times New Roman"/>
          <w:b w:val="false"/>
          <w:i w:val="false"/>
          <w:color w:val="000000"/>
          <w:sz w:val="28"/>
        </w:rPr>
        <w:t>
      Банки второго уровня, за исключением банков второго уровня, указанных в части первой настоящего пункта, и страховые (перестраховочные) организации ежеквартально не позднее десятого рабочего дня месяца, следующего за отчетным кварталом, публикуют в средствах массовой информации или на своих официальных интернет-ресурсах соответствующие международным стандартам финансовой отчетности неконсолидированные бухгалтерский баланс и отчет о прибылях и убытках.".</w:t>
      </w:r>
    </w:p>
    <w:bookmarkEnd w:id="41"/>
    <w:bookmarkStart w:name="z55" w:id="42"/>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к обращению на фондовой бирже, а также к отдельным категориям официального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15175) следующие изменения:</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57" w:id="4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89 Закона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43"/>
    <w:bookmarkStart w:name="z58"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эмитентам и их ценным бумагам, допускаемым к обращению на фондовой бирже, а также к отдельным категориям официального списка фондовой биржи, утвержденных указанным постановлением: </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60" w:id="45"/>
    <w:p>
      <w:pPr>
        <w:spacing w:after="0"/>
        <w:ind w:left="0"/>
        <w:jc w:val="both"/>
      </w:pPr>
      <w:r>
        <w:rPr>
          <w:rFonts w:ascii="Times New Roman"/>
          <w:b w:val="false"/>
          <w:i w:val="false"/>
          <w:color w:val="000000"/>
          <w:sz w:val="28"/>
        </w:rPr>
        <w:t>
      "2. Для целей Требований используются следующие понятия:</w:t>
      </w:r>
    </w:p>
    <w:bookmarkEnd w:id="45"/>
    <w:bookmarkStart w:name="z61" w:id="46"/>
    <w:p>
      <w:pPr>
        <w:spacing w:after="0"/>
        <w:ind w:left="0"/>
        <w:jc w:val="both"/>
      </w:pPr>
      <w:r>
        <w:rPr>
          <w:rFonts w:ascii="Times New Roman"/>
          <w:b w:val="false"/>
          <w:i w:val="false"/>
          <w:color w:val="000000"/>
          <w:sz w:val="28"/>
        </w:rPr>
        <w:t>
      1) сектор площадки - часть площадки официального списка фондовой биржи, в которую включены (в которой допущены к обращению) эмиссионные ценные бумаги, соответствующие Требованиям и (или) внутренним документам фондовой биржи;</w:t>
      </w:r>
    </w:p>
    <w:bookmarkEnd w:id="46"/>
    <w:bookmarkStart w:name="z62" w:id="47"/>
    <w:p>
      <w:pPr>
        <w:spacing w:after="0"/>
        <w:ind w:left="0"/>
        <w:jc w:val="both"/>
      </w:pPr>
      <w:r>
        <w:rPr>
          <w:rFonts w:ascii="Times New Roman"/>
          <w:b w:val="false"/>
          <w:i w:val="false"/>
          <w:color w:val="000000"/>
          <w:sz w:val="28"/>
        </w:rPr>
        <w:t>
      2) долговая ценная бумага - ценная бумага, удостоверяющая право ее владельца на получение от эмитента суммы основного долга на условиях выпуска данных ценных бумаг;</w:t>
      </w:r>
    </w:p>
    <w:bookmarkEnd w:id="47"/>
    <w:bookmarkStart w:name="z63" w:id="48"/>
    <w:p>
      <w:pPr>
        <w:spacing w:after="0"/>
        <w:ind w:left="0"/>
        <w:jc w:val="both"/>
      </w:pPr>
      <w:r>
        <w:rPr>
          <w:rFonts w:ascii="Times New Roman"/>
          <w:b w:val="false"/>
          <w:i w:val="false"/>
          <w:color w:val="000000"/>
          <w:sz w:val="28"/>
        </w:rPr>
        <w:t>
      3) сегмент "Буфер для долговых ценных бумаг" - часть официального списка фондовой биржи, предназначенная для ценных бумаг эмитентов, допустивших дефолт по выплате купонного вознаграждения либо начавших реструктуризацию обязательств по облигациям;</w:t>
      </w:r>
    </w:p>
    <w:bookmarkEnd w:id="48"/>
    <w:bookmarkStart w:name="z64" w:id="49"/>
    <w:p>
      <w:pPr>
        <w:spacing w:after="0"/>
        <w:ind w:left="0"/>
        <w:jc w:val="both"/>
      </w:pPr>
      <w:r>
        <w:rPr>
          <w:rFonts w:ascii="Times New Roman"/>
          <w:b w:val="false"/>
          <w:i w:val="false"/>
          <w:color w:val="000000"/>
          <w:sz w:val="28"/>
        </w:rPr>
        <w:t>
      4) облигации местных исполнительных органов - государственные ценные бумаги Республики Казахстан, выпущенные местными исполнительными органами области, города республиканского значения, столицы;</w:t>
      </w:r>
    </w:p>
    <w:bookmarkEnd w:id="49"/>
    <w:bookmarkStart w:name="z65" w:id="50"/>
    <w:p>
      <w:pPr>
        <w:spacing w:after="0"/>
        <w:ind w:left="0"/>
        <w:jc w:val="both"/>
      </w:pPr>
      <w:r>
        <w:rPr>
          <w:rFonts w:ascii="Times New Roman"/>
          <w:b w:val="false"/>
          <w:i w:val="false"/>
          <w:color w:val="000000"/>
          <w:sz w:val="28"/>
        </w:rPr>
        <w:t>
      5) исламские ценные бумаги - исламские арендные сертификаты, исламские сертификаты участия и иные ценные бумаги, признанные исламскими ценными бумагами в соответствии с законодательством Республики Казахстан;</w:t>
      </w:r>
    </w:p>
    <w:bookmarkEnd w:id="50"/>
    <w:bookmarkStart w:name="z66" w:id="51"/>
    <w:p>
      <w:pPr>
        <w:spacing w:after="0"/>
        <w:ind w:left="0"/>
        <w:jc w:val="both"/>
      </w:pPr>
      <w:r>
        <w:rPr>
          <w:rFonts w:ascii="Times New Roman"/>
          <w:b w:val="false"/>
          <w:i w:val="false"/>
          <w:color w:val="000000"/>
          <w:sz w:val="28"/>
        </w:rPr>
        <w:t>
      6) официальный список фондовой биржи - часть списка фондовой биржи, для включения в который и нахождения в котором ценные бумаги и эмитенты ценных бумаг соответствуют Требованиям;</w:t>
      </w:r>
    </w:p>
    <w:bookmarkEnd w:id="51"/>
    <w:bookmarkStart w:name="z67" w:id="52"/>
    <w:p>
      <w:pPr>
        <w:spacing w:after="0"/>
        <w:ind w:left="0"/>
        <w:jc w:val="both"/>
      </w:pPr>
      <w:r>
        <w:rPr>
          <w:rFonts w:ascii="Times New Roman"/>
          <w:b w:val="false"/>
          <w:i w:val="false"/>
          <w:color w:val="000000"/>
          <w:sz w:val="28"/>
        </w:rPr>
        <w:t>
      7) список фондовой биржи - составленный в соответствии с внутренними документами фондовой биржи список финансовых инструментов, разрешенных к обращению в торговой системе фондовой биржи;</w:t>
      </w:r>
    </w:p>
    <w:bookmarkEnd w:id="52"/>
    <w:bookmarkStart w:name="z68" w:id="53"/>
    <w:p>
      <w:pPr>
        <w:spacing w:after="0"/>
        <w:ind w:left="0"/>
        <w:jc w:val="both"/>
      </w:pPr>
      <w:r>
        <w:rPr>
          <w:rFonts w:ascii="Times New Roman"/>
          <w:b w:val="false"/>
          <w:i w:val="false"/>
          <w:color w:val="000000"/>
          <w:sz w:val="28"/>
        </w:rPr>
        <w:t>
      8) листинговая компания - юридическое лицо, ценные бумаги которого включены в официальный список фондовой биржи (допущены к обращению в официальном списке фондовой биржи);</w:t>
      </w:r>
    </w:p>
    <w:bookmarkEnd w:id="53"/>
    <w:bookmarkStart w:name="z69" w:id="54"/>
    <w:p>
      <w:pPr>
        <w:spacing w:after="0"/>
        <w:ind w:left="0"/>
        <w:jc w:val="both"/>
      </w:pPr>
      <w:r>
        <w:rPr>
          <w:rFonts w:ascii="Times New Roman"/>
          <w:b w:val="false"/>
          <w:i w:val="false"/>
          <w:color w:val="000000"/>
          <w:sz w:val="28"/>
        </w:rPr>
        <w:t>
      9) площадка официального списка - часть официального списка фондовой биржи, состоящая из секторов;</w:t>
      </w:r>
    </w:p>
    <w:bookmarkEnd w:id="54"/>
    <w:bookmarkStart w:name="z70" w:id="55"/>
    <w:p>
      <w:pPr>
        <w:spacing w:after="0"/>
        <w:ind w:left="0"/>
        <w:jc w:val="both"/>
      </w:pPr>
      <w:r>
        <w:rPr>
          <w:rFonts w:ascii="Times New Roman"/>
          <w:b w:val="false"/>
          <w:i w:val="false"/>
          <w:color w:val="000000"/>
          <w:sz w:val="28"/>
        </w:rPr>
        <w:t>
      10) инициатор допуска - эмитент, фондовая биржа либо член фондовой биржи, по инициативе которых ценные бумаги включаются (допускаются) в официальный список фондовой биржи;</w:t>
      </w:r>
    </w:p>
    <w:bookmarkEnd w:id="55"/>
    <w:bookmarkStart w:name="z71" w:id="56"/>
    <w:p>
      <w:pPr>
        <w:spacing w:after="0"/>
        <w:ind w:left="0"/>
        <w:jc w:val="both"/>
      </w:pPr>
      <w:r>
        <w:rPr>
          <w:rFonts w:ascii="Times New Roman"/>
          <w:b w:val="false"/>
          <w:i w:val="false"/>
          <w:color w:val="000000"/>
          <w:sz w:val="28"/>
        </w:rPr>
        <w:t>
      11) торговая площадка - часть программно-технического комплекса фондовой биржи, посредством которого заключаются сделки с отдельными видами финансовых инструментов, включенных в официальный список (допущенных к обращению на фондовой бирже);</w:t>
      </w:r>
    </w:p>
    <w:bookmarkEnd w:id="56"/>
    <w:bookmarkStart w:name="z72" w:id="57"/>
    <w:p>
      <w:pPr>
        <w:spacing w:after="0"/>
        <w:ind w:left="0"/>
        <w:jc w:val="both"/>
      </w:pPr>
      <w:r>
        <w:rPr>
          <w:rFonts w:ascii="Times New Roman"/>
          <w:b w:val="false"/>
          <w:i w:val="false"/>
          <w:color w:val="000000"/>
          <w:sz w:val="28"/>
        </w:rPr>
        <w:t>
      12) реструктуризация обязательств эмитента-комплекс административных, юридических, финансовых, организационно-технических и других мероприятий и процедур, реализуемых эмитентом на основании плана реструктуризации, утвержденного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либо плана реабилитации, утвержденного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74" w:id="58"/>
    <w:p>
      <w:pPr>
        <w:spacing w:after="0"/>
        <w:ind w:left="0"/>
        <w:jc w:val="both"/>
      </w:pPr>
      <w:r>
        <w:rPr>
          <w:rFonts w:ascii="Times New Roman"/>
          <w:b w:val="false"/>
          <w:i w:val="false"/>
          <w:color w:val="000000"/>
          <w:sz w:val="28"/>
        </w:rPr>
        <w:t>
      "4. Список фондовой биржи состоит из официального списка фондовой биржи и неофициального списка – сектора "Нелистинговые ценные бумаги".";</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76" w:id="59"/>
    <w:p>
      <w:pPr>
        <w:spacing w:after="0"/>
        <w:ind w:left="0"/>
        <w:jc w:val="both"/>
      </w:pPr>
      <w:r>
        <w:rPr>
          <w:rFonts w:ascii="Times New Roman"/>
          <w:b w:val="false"/>
          <w:i w:val="false"/>
          <w:color w:val="000000"/>
          <w:sz w:val="28"/>
        </w:rPr>
        <w:t>
      "6. Официальный список фондовой биржи состоит из следующих обособленных площадок:</w:t>
      </w:r>
    </w:p>
    <w:bookmarkEnd w:id="59"/>
    <w:bookmarkStart w:name="z77" w:id="60"/>
    <w:p>
      <w:pPr>
        <w:spacing w:after="0"/>
        <w:ind w:left="0"/>
        <w:jc w:val="both"/>
      </w:pPr>
      <w:r>
        <w:rPr>
          <w:rFonts w:ascii="Times New Roman"/>
          <w:b w:val="false"/>
          <w:i w:val="false"/>
          <w:color w:val="000000"/>
          <w:sz w:val="28"/>
        </w:rPr>
        <w:t>
      1) "Основная";</w:t>
      </w:r>
    </w:p>
    <w:bookmarkEnd w:id="60"/>
    <w:bookmarkStart w:name="z78" w:id="61"/>
    <w:p>
      <w:pPr>
        <w:spacing w:after="0"/>
        <w:ind w:left="0"/>
        <w:jc w:val="both"/>
      </w:pPr>
      <w:r>
        <w:rPr>
          <w:rFonts w:ascii="Times New Roman"/>
          <w:b w:val="false"/>
          <w:i w:val="false"/>
          <w:color w:val="000000"/>
          <w:sz w:val="28"/>
        </w:rPr>
        <w:t>
      2) "Алтернативная";</w:t>
      </w:r>
    </w:p>
    <w:bookmarkEnd w:id="61"/>
    <w:bookmarkStart w:name="z79" w:id="62"/>
    <w:p>
      <w:pPr>
        <w:spacing w:after="0"/>
        <w:ind w:left="0"/>
        <w:jc w:val="both"/>
      </w:pPr>
      <w:r>
        <w:rPr>
          <w:rFonts w:ascii="Times New Roman"/>
          <w:b w:val="false"/>
          <w:i w:val="false"/>
          <w:color w:val="000000"/>
          <w:sz w:val="28"/>
        </w:rPr>
        <w:t>
      3) "Смешанная";</w:t>
      </w:r>
    </w:p>
    <w:bookmarkEnd w:id="62"/>
    <w:bookmarkStart w:name="z80" w:id="63"/>
    <w:p>
      <w:pPr>
        <w:spacing w:after="0"/>
        <w:ind w:left="0"/>
        <w:jc w:val="both"/>
      </w:pPr>
      <w:r>
        <w:rPr>
          <w:rFonts w:ascii="Times New Roman"/>
          <w:b w:val="false"/>
          <w:i w:val="false"/>
          <w:color w:val="000000"/>
          <w:sz w:val="28"/>
        </w:rPr>
        <w:t>
      4) "Частное размещение";</w:t>
      </w:r>
    </w:p>
    <w:bookmarkEnd w:id="63"/>
    <w:bookmarkStart w:name="z81" w:id="64"/>
    <w:p>
      <w:pPr>
        <w:spacing w:after="0"/>
        <w:ind w:left="0"/>
        <w:jc w:val="both"/>
      </w:pPr>
      <w:r>
        <w:rPr>
          <w:rFonts w:ascii="Times New Roman"/>
          <w:b w:val="false"/>
          <w:i w:val="false"/>
          <w:color w:val="000000"/>
          <w:sz w:val="28"/>
        </w:rPr>
        <w:t>
      5) иные площадки, создание и функционирование которых осуществляется в соответствие с внутренними документами фондовой биржи.</w:t>
      </w:r>
    </w:p>
    <w:bookmarkEnd w:id="64"/>
    <w:bookmarkStart w:name="z82" w:id="65"/>
    <w:p>
      <w:pPr>
        <w:spacing w:after="0"/>
        <w:ind w:left="0"/>
        <w:jc w:val="both"/>
      </w:pPr>
      <w:r>
        <w:rPr>
          <w:rFonts w:ascii="Times New Roman"/>
          <w:b w:val="false"/>
          <w:i w:val="false"/>
          <w:color w:val="000000"/>
          <w:sz w:val="28"/>
        </w:rPr>
        <w:t>
      В случаях, установленных пунктом 16 Требований, ценные бумаги, находящиеся на площадках, указанных в части первой настоящего пункта, могут быть переведены в сегмент "Буфер для долговых ценных бумаг" официального списка фондовой биржи.";</w:t>
      </w:r>
    </w:p>
    <w:bookmarkEnd w:id="65"/>
    <w:bookmarkStart w:name="z83" w:id="6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66"/>
    <w:bookmarkStart w:name="z84" w:id="67"/>
    <w:p>
      <w:pPr>
        <w:spacing w:after="0"/>
        <w:ind w:left="0"/>
        <w:jc w:val="both"/>
      </w:pPr>
      <w:r>
        <w:rPr>
          <w:rFonts w:ascii="Times New Roman"/>
          <w:b w:val="false"/>
          <w:i w:val="false"/>
          <w:color w:val="000000"/>
          <w:sz w:val="28"/>
        </w:rPr>
        <w:t>
      "Критерии (условия) распределения ценных бумаг в секторы (категории и подкатегории) площадок, указанных в части первой пункта 6 Требований, устанавливаются внутренними документами фондовой биржи.";</w:t>
      </w:r>
    </w:p>
    <w:bookmarkEnd w:id="67"/>
    <w:bookmarkStart w:name="z85" w:id="6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68"/>
    <w:bookmarkStart w:name="z86" w:id="69"/>
    <w:p>
      <w:pPr>
        <w:spacing w:after="0"/>
        <w:ind w:left="0"/>
        <w:jc w:val="both"/>
      </w:pPr>
      <w:r>
        <w:rPr>
          <w:rFonts w:ascii="Times New Roman"/>
          <w:b w:val="false"/>
          <w:i w:val="false"/>
          <w:color w:val="000000"/>
          <w:sz w:val="28"/>
        </w:rPr>
        <w:t>
      "9. Сектор "акции" площадки "Основная" подразделяется на следующие категории: категория "премиум", категория "стандарт" и иные категории, предусмотренные внутренними документами фондовой биржи.";</w:t>
      </w:r>
    </w:p>
    <w:bookmarkEnd w:id="69"/>
    <w:bookmarkStart w:name="z87" w:id="7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70"/>
    <w:bookmarkStart w:name="z88" w:id="71"/>
    <w:p>
      <w:pPr>
        <w:spacing w:after="0"/>
        <w:ind w:left="0"/>
        <w:jc w:val="both"/>
      </w:pPr>
      <w:r>
        <w:rPr>
          <w:rFonts w:ascii="Times New Roman"/>
          <w:b w:val="false"/>
          <w:i w:val="false"/>
          <w:color w:val="000000"/>
          <w:sz w:val="28"/>
        </w:rPr>
        <w:t>
      "11. Сектор "долговые ценные бумаги" площадки "Основная" подразделяется на категории:</w:t>
      </w:r>
    </w:p>
    <w:bookmarkEnd w:id="71"/>
    <w:bookmarkStart w:name="z89" w:id="72"/>
    <w:p>
      <w:pPr>
        <w:spacing w:after="0"/>
        <w:ind w:left="0"/>
        <w:jc w:val="both"/>
      </w:pPr>
      <w:r>
        <w:rPr>
          <w:rFonts w:ascii="Times New Roman"/>
          <w:b w:val="false"/>
          <w:i w:val="false"/>
          <w:color w:val="000000"/>
          <w:sz w:val="28"/>
        </w:rPr>
        <w:t>
      1) облигации;</w:t>
      </w:r>
    </w:p>
    <w:bookmarkEnd w:id="72"/>
    <w:bookmarkStart w:name="z90" w:id="73"/>
    <w:p>
      <w:pPr>
        <w:spacing w:after="0"/>
        <w:ind w:left="0"/>
        <w:jc w:val="both"/>
      </w:pPr>
      <w:r>
        <w:rPr>
          <w:rFonts w:ascii="Times New Roman"/>
          <w:b w:val="false"/>
          <w:i w:val="false"/>
          <w:color w:val="000000"/>
          <w:sz w:val="28"/>
        </w:rPr>
        <w:t>
      2) коммерческие облигации;</w:t>
      </w:r>
    </w:p>
    <w:bookmarkEnd w:id="73"/>
    <w:bookmarkStart w:name="z91" w:id="74"/>
    <w:p>
      <w:pPr>
        <w:spacing w:after="0"/>
        <w:ind w:left="0"/>
        <w:jc w:val="both"/>
      </w:pPr>
      <w:r>
        <w:rPr>
          <w:rFonts w:ascii="Times New Roman"/>
          <w:b w:val="false"/>
          <w:i w:val="false"/>
          <w:color w:val="000000"/>
          <w:sz w:val="28"/>
        </w:rPr>
        <w:t>
      3) иные категории, предусмотренные внутренними документами фондовой биржи.";</w:t>
      </w:r>
    </w:p>
    <w:bookmarkEnd w:id="74"/>
    <w:bookmarkStart w:name="z92" w:id="7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75"/>
    <w:bookmarkStart w:name="z93" w:id="76"/>
    <w:p>
      <w:pPr>
        <w:spacing w:after="0"/>
        <w:ind w:left="0"/>
        <w:jc w:val="both"/>
      </w:pPr>
      <w:r>
        <w:rPr>
          <w:rFonts w:ascii="Times New Roman"/>
          <w:b w:val="false"/>
          <w:i w:val="false"/>
          <w:color w:val="000000"/>
          <w:sz w:val="28"/>
        </w:rPr>
        <w:t>
      "15. Сектор "долговые ценные бумаги" площадки "Альтернативная" подразделяется на категории:</w:t>
      </w:r>
    </w:p>
    <w:bookmarkEnd w:id="76"/>
    <w:bookmarkStart w:name="z94" w:id="77"/>
    <w:p>
      <w:pPr>
        <w:spacing w:after="0"/>
        <w:ind w:left="0"/>
        <w:jc w:val="both"/>
      </w:pPr>
      <w:r>
        <w:rPr>
          <w:rFonts w:ascii="Times New Roman"/>
          <w:b w:val="false"/>
          <w:i w:val="false"/>
          <w:color w:val="000000"/>
          <w:sz w:val="28"/>
        </w:rPr>
        <w:t>
      1) облигации;</w:t>
      </w:r>
    </w:p>
    <w:bookmarkEnd w:id="77"/>
    <w:bookmarkStart w:name="z95" w:id="78"/>
    <w:p>
      <w:pPr>
        <w:spacing w:after="0"/>
        <w:ind w:left="0"/>
        <w:jc w:val="both"/>
      </w:pPr>
      <w:r>
        <w:rPr>
          <w:rFonts w:ascii="Times New Roman"/>
          <w:b w:val="false"/>
          <w:i w:val="false"/>
          <w:color w:val="000000"/>
          <w:sz w:val="28"/>
        </w:rPr>
        <w:t>
      2) коммерческие облигации;</w:t>
      </w:r>
    </w:p>
    <w:bookmarkEnd w:id="78"/>
    <w:bookmarkStart w:name="z96" w:id="79"/>
    <w:p>
      <w:pPr>
        <w:spacing w:after="0"/>
        <w:ind w:left="0"/>
        <w:jc w:val="both"/>
      </w:pPr>
      <w:r>
        <w:rPr>
          <w:rFonts w:ascii="Times New Roman"/>
          <w:b w:val="false"/>
          <w:i w:val="false"/>
          <w:color w:val="000000"/>
          <w:sz w:val="28"/>
        </w:rPr>
        <w:t>
      3) иные категории, предусмотренные внутренними документами фондовой биржи.";</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98" w:id="80"/>
    <w:p>
      <w:pPr>
        <w:spacing w:after="0"/>
        <w:ind w:left="0"/>
        <w:jc w:val="both"/>
      </w:pPr>
      <w:r>
        <w:rPr>
          <w:rFonts w:ascii="Times New Roman"/>
          <w:b w:val="false"/>
          <w:i w:val="false"/>
          <w:color w:val="000000"/>
          <w:sz w:val="28"/>
        </w:rPr>
        <w:t>
      "16. Перевод долговых ценных бумаг эмитента в сегмент "Буфер для долговых ценных бумаг" официального списка фондовой биржи осуществляется по следующим основаниям:</w:t>
      </w:r>
    </w:p>
    <w:bookmarkEnd w:id="80"/>
    <w:bookmarkStart w:name="z99" w:id="81"/>
    <w:p>
      <w:pPr>
        <w:spacing w:after="0"/>
        <w:ind w:left="0"/>
        <w:jc w:val="both"/>
      </w:pPr>
      <w:r>
        <w:rPr>
          <w:rFonts w:ascii="Times New Roman"/>
          <w:b w:val="false"/>
          <w:i w:val="false"/>
          <w:color w:val="000000"/>
          <w:sz w:val="28"/>
        </w:rPr>
        <w:t>
      1) дефолт эмитента по выплате вознаграждения по своим обязательствам (за исключением вознаграждения за последний купонный период в случае, если данный выпуск долговых ценных бумаг является единственным выпуском долговых ценных бумаг данного эмитента в официальном списке фондовой биржи);</w:t>
      </w:r>
    </w:p>
    <w:bookmarkEnd w:id="81"/>
    <w:bookmarkStart w:name="z100" w:id="82"/>
    <w:p>
      <w:pPr>
        <w:spacing w:after="0"/>
        <w:ind w:left="0"/>
        <w:jc w:val="both"/>
      </w:pPr>
      <w:r>
        <w:rPr>
          <w:rFonts w:ascii="Times New Roman"/>
          <w:b w:val="false"/>
          <w:i w:val="false"/>
          <w:color w:val="000000"/>
          <w:sz w:val="28"/>
        </w:rPr>
        <w:t>
      2) принятие советом директоров эмитента (наблюдательным советом эмитента, созданного в иной, помимо акционерного общества, организационно-правовой форме) решения о реструктуризации обязательств эмитента.</w:t>
      </w:r>
    </w:p>
    <w:bookmarkEnd w:id="82"/>
    <w:bookmarkStart w:name="z101" w:id="83"/>
    <w:p>
      <w:pPr>
        <w:spacing w:after="0"/>
        <w:ind w:left="0"/>
        <w:jc w:val="both"/>
      </w:pPr>
      <w:r>
        <w:rPr>
          <w:rFonts w:ascii="Times New Roman"/>
          <w:b w:val="false"/>
          <w:i w:val="false"/>
          <w:color w:val="000000"/>
          <w:sz w:val="28"/>
        </w:rPr>
        <w:t>
      17. Фондовая биржа в течение 3 (трех) рабочих дней с даты возникновения оснований для перевода долговых ценных бумаг эмитента в сегмент "Буфер для долговых ценных бумаг" официального списка фондовой биржи направляет эмитенту (инициатору допуска) уведомление о наличии таких оснований.</w:t>
      </w:r>
    </w:p>
    <w:bookmarkEnd w:id="83"/>
    <w:bookmarkStart w:name="z102" w:id="84"/>
    <w:p>
      <w:pPr>
        <w:spacing w:after="0"/>
        <w:ind w:left="0"/>
        <w:jc w:val="both"/>
      </w:pPr>
      <w:r>
        <w:rPr>
          <w:rFonts w:ascii="Times New Roman"/>
          <w:b w:val="false"/>
          <w:i w:val="false"/>
          <w:color w:val="000000"/>
          <w:sz w:val="28"/>
        </w:rPr>
        <w:t>
      18. При возникновении основания для перевода ценных бумаг эмитента в сегмент "Буфер для долговых ценных бумаг" официального списка фондовой биржи, предусмотренного в подпункте 1) пункта 16 Требований, эмитент (инициатор допуска) уведомляет фондовую биржу о неисполнении обязательств по долговым ценным бумагам, установленных условиями выпуска ценных бумаг, не позднее чем за 3 (три) рабочих дня до установленной условиями выпуска ценных бумаг даты исполнения обязательств.";</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104" w:id="85"/>
    <w:p>
      <w:pPr>
        <w:spacing w:after="0"/>
        <w:ind w:left="0"/>
        <w:jc w:val="both"/>
      </w:pPr>
      <w:r>
        <w:rPr>
          <w:rFonts w:ascii="Times New Roman"/>
          <w:b w:val="false"/>
          <w:i w:val="false"/>
          <w:color w:val="000000"/>
          <w:sz w:val="28"/>
        </w:rPr>
        <w:t>
      "20. Эмитент (инициатор допуска) в течение 20 (двадцати) рабочих дней со дня получения письменного уведомления фондовой биржи либо возникновения оснований для перевода эмитента и его ценных бумаг в сегмент "Буфер для долговых ценных бумаг" официального списка фондовой биржи, предусмотренных в пункте 16 Требований, направляет в адрес фондовой биржи план мероприятий, утвержденный советом директоров эмитента (наблюдательным советом эмитента, созданного в иной, помимо акционерного общества, организационно-правовой форме), по устранению оснований для перевода ценных бумаг эмитента в сегмент "Буфер для долговых ценных бумаг" официального списка фондовой биржи, предусмотренных пунктом 16 Требований (далее – план мероприятий).</w:t>
      </w:r>
    </w:p>
    <w:bookmarkEnd w:id="85"/>
    <w:bookmarkStart w:name="z105" w:id="86"/>
    <w:p>
      <w:pPr>
        <w:spacing w:after="0"/>
        <w:ind w:left="0"/>
        <w:jc w:val="both"/>
      </w:pPr>
      <w:r>
        <w:rPr>
          <w:rFonts w:ascii="Times New Roman"/>
          <w:b w:val="false"/>
          <w:i w:val="false"/>
          <w:color w:val="000000"/>
          <w:sz w:val="28"/>
        </w:rPr>
        <w:t>
      Фондовая биржа в день получения плана мероприятий размещает его на своем интернет-ресурсе.</w:t>
      </w:r>
    </w:p>
    <w:bookmarkEnd w:id="86"/>
    <w:bookmarkStart w:name="z106" w:id="87"/>
    <w:p>
      <w:pPr>
        <w:spacing w:after="0"/>
        <w:ind w:left="0"/>
        <w:jc w:val="both"/>
      </w:pPr>
      <w:r>
        <w:rPr>
          <w:rFonts w:ascii="Times New Roman"/>
          <w:b w:val="false"/>
          <w:i w:val="false"/>
          <w:color w:val="000000"/>
          <w:sz w:val="28"/>
        </w:rPr>
        <w:t>
      План мероприятий содержит:</w:t>
      </w:r>
    </w:p>
    <w:bookmarkEnd w:id="87"/>
    <w:bookmarkStart w:name="z107" w:id="88"/>
    <w:p>
      <w:pPr>
        <w:spacing w:after="0"/>
        <w:ind w:left="0"/>
        <w:jc w:val="both"/>
      </w:pPr>
      <w:r>
        <w:rPr>
          <w:rFonts w:ascii="Times New Roman"/>
          <w:b w:val="false"/>
          <w:i w:val="false"/>
          <w:color w:val="000000"/>
          <w:sz w:val="28"/>
        </w:rPr>
        <w:t>
      краткую характеристику деятельности эмитента;</w:t>
      </w:r>
    </w:p>
    <w:bookmarkEnd w:id="88"/>
    <w:bookmarkStart w:name="z108" w:id="89"/>
    <w:p>
      <w:pPr>
        <w:spacing w:after="0"/>
        <w:ind w:left="0"/>
        <w:jc w:val="both"/>
      </w:pPr>
      <w:r>
        <w:rPr>
          <w:rFonts w:ascii="Times New Roman"/>
          <w:b w:val="false"/>
          <w:i w:val="false"/>
          <w:color w:val="000000"/>
          <w:sz w:val="28"/>
        </w:rPr>
        <w:t>
      основные причины возникновения оснований для перевода ценных бумаг эмитента в сегмент "Буфер для долговых ценных бумаг" официального списка фондовой биржи;</w:t>
      </w:r>
    </w:p>
    <w:bookmarkEnd w:id="89"/>
    <w:bookmarkStart w:name="z109" w:id="90"/>
    <w:p>
      <w:pPr>
        <w:spacing w:after="0"/>
        <w:ind w:left="0"/>
        <w:jc w:val="both"/>
      </w:pPr>
      <w:r>
        <w:rPr>
          <w:rFonts w:ascii="Times New Roman"/>
          <w:b w:val="false"/>
          <w:i w:val="false"/>
          <w:color w:val="000000"/>
          <w:sz w:val="28"/>
        </w:rPr>
        <w:t>
      основные мероприятия, предполагаемые к выполнению эмитентом, направленные на оздоровление финансового положения;</w:t>
      </w:r>
    </w:p>
    <w:bookmarkEnd w:id="90"/>
    <w:bookmarkStart w:name="z110" w:id="91"/>
    <w:p>
      <w:pPr>
        <w:spacing w:after="0"/>
        <w:ind w:left="0"/>
        <w:jc w:val="both"/>
      </w:pPr>
      <w:r>
        <w:rPr>
          <w:rFonts w:ascii="Times New Roman"/>
          <w:b w:val="false"/>
          <w:i w:val="false"/>
          <w:color w:val="000000"/>
          <w:sz w:val="28"/>
        </w:rPr>
        <w:t>
      сроки выполнения каждого из мероприятий, предусмотренных планом мероприятий;</w:t>
      </w:r>
    </w:p>
    <w:bookmarkEnd w:id="91"/>
    <w:bookmarkStart w:name="z111" w:id="92"/>
    <w:p>
      <w:pPr>
        <w:spacing w:after="0"/>
        <w:ind w:left="0"/>
        <w:jc w:val="both"/>
      </w:pPr>
      <w:r>
        <w:rPr>
          <w:rFonts w:ascii="Times New Roman"/>
          <w:b w:val="false"/>
          <w:i w:val="false"/>
          <w:color w:val="000000"/>
          <w:sz w:val="28"/>
        </w:rPr>
        <w:t>
      прогноз основных финансовых показателей эмитента;</w:t>
      </w:r>
    </w:p>
    <w:bookmarkEnd w:id="92"/>
    <w:bookmarkStart w:name="z112" w:id="93"/>
    <w:p>
      <w:pPr>
        <w:spacing w:after="0"/>
        <w:ind w:left="0"/>
        <w:jc w:val="both"/>
      </w:pPr>
      <w:r>
        <w:rPr>
          <w:rFonts w:ascii="Times New Roman"/>
          <w:b w:val="false"/>
          <w:i w:val="false"/>
          <w:color w:val="000000"/>
          <w:sz w:val="28"/>
        </w:rPr>
        <w:t>
      перечень лиц, ответственных за выполнение мероприятий, предусмотренных планом мероприятий.</w:t>
      </w:r>
    </w:p>
    <w:bookmarkEnd w:id="93"/>
    <w:bookmarkStart w:name="z113" w:id="94"/>
    <w:p>
      <w:pPr>
        <w:spacing w:after="0"/>
        <w:ind w:left="0"/>
        <w:jc w:val="both"/>
      </w:pPr>
      <w:r>
        <w:rPr>
          <w:rFonts w:ascii="Times New Roman"/>
          <w:b w:val="false"/>
          <w:i w:val="false"/>
          <w:color w:val="000000"/>
          <w:sz w:val="28"/>
        </w:rPr>
        <w:t>
      Дополнительные требования в отношении плана мероприятий эмитента устанавливаются внутренними документами фондовой биржи.</w:t>
      </w:r>
    </w:p>
    <w:bookmarkEnd w:id="94"/>
    <w:bookmarkStart w:name="z114" w:id="95"/>
    <w:p>
      <w:pPr>
        <w:spacing w:after="0"/>
        <w:ind w:left="0"/>
        <w:jc w:val="both"/>
      </w:pPr>
      <w:r>
        <w:rPr>
          <w:rFonts w:ascii="Times New Roman"/>
          <w:b w:val="false"/>
          <w:i w:val="false"/>
          <w:color w:val="000000"/>
          <w:sz w:val="28"/>
        </w:rPr>
        <w:t>
      Требования, установленные в настоящем пункте, не распространяются на банки второго уровня, находящиеся в процессе реструктуризации.</w:t>
      </w:r>
    </w:p>
    <w:bookmarkEnd w:id="95"/>
    <w:bookmarkStart w:name="z115" w:id="96"/>
    <w:p>
      <w:pPr>
        <w:spacing w:after="0"/>
        <w:ind w:left="0"/>
        <w:jc w:val="both"/>
      </w:pPr>
      <w:r>
        <w:rPr>
          <w:rFonts w:ascii="Times New Roman"/>
          <w:b w:val="false"/>
          <w:i w:val="false"/>
          <w:color w:val="000000"/>
          <w:sz w:val="28"/>
        </w:rPr>
        <w:t>
      21. Перевод ценных бумаг банка второго уровня, находящегося в процессе реструктуризации, в сегмент "Буфер для долговых ценных бумаг" официального списка фондовой биржи производится на основании заявления банка второго уровня, подписанного руководителем исполнительного органа либо лицом, который исполняет обязанности руководителя исполнительного органа банка второго уровня, при одобрении данного перевода органом фондовой биржи, в компетенцию которого входит рассмотрение вопросов листинга, делистинга или смены категории списка ценных бумаг (далее – листинговая комиссия).";</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117" w:id="97"/>
    <w:p>
      <w:pPr>
        <w:spacing w:after="0"/>
        <w:ind w:left="0"/>
        <w:jc w:val="both"/>
      </w:pPr>
      <w:r>
        <w:rPr>
          <w:rFonts w:ascii="Times New Roman"/>
          <w:b w:val="false"/>
          <w:i w:val="false"/>
          <w:color w:val="000000"/>
          <w:sz w:val="28"/>
        </w:rPr>
        <w:t>
      "24. Все выпуски долговых ценных бумаг эмитента в случае принятия листинговой комиссией плана мероприятий подлежат переводу в сегмент "Буфер для долговых ценных бумаг" официального списка фондовой биржи, а в случае отклонения листинговой комиссией плана мероприятий - делистингу.</w:t>
      </w:r>
    </w:p>
    <w:bookmarkEnd w:id="97"/>
    <w:bookmarkStart w:name="z118" w:id="98"/>
    <w:p>
      <w:pPr>
        <w:spacing w:after="0"/>
        <w:ind w:left="0"/>
        <w:jc w:val="both"/>
      </w:pPr>
      <w:r>
        <w:rPr>
          <w:rFonts w:ascii="Times New Roman"/>
          <w:b w:val="false"/>
          <w:i w:val="false"/>
          <w:color w:val="000000"/>
          <w:sz w:val="28"/>
        </w:rPr>
        <w:t>
      25. В период нахождения ценных бумаг эмитента в сегменте "Буфер для долговых ценных бумаг" официального списка фондовой биржи эмитенту разрешается вносить изменения в план мероприятий, которые утверждаются советом директоров эмитента (наблюдательным советом эмитента, созданного в иной, помимо акционерного общества, организационно-правовой форме).";</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120" w:id="99"/>
    <w:p>
      <w:pPr>
        <w:spacing w:after="0"/>
        <w:ind w:left="0"/>
        <w:jc w:val="both"/>
      </w:pPr>
      <w:r>
        <w:rPr>
          <w:rFonts w:ascii="Times New Roman"/>
          <w:b w:val="false"/>
          <w:i w:val="false"/>
          <w:color w:val="000000"/>
          <w:sz w:val="28"/>
        </w:rPr>
        <w:t>
      "27. Решение листинговой комиссии об отклонении изменений в план мероприятий содержит информацию о том, что ценные бумаги эмитента остаются в сегменте "Буфер для долговых ценных бумаг" официального списка фондовой биржи в случае отсутствия оснований для их делистинга в соответствии с пунктом 35 Требований.</w:t>
      </w:r>
    </w:p>
    <w:bookmarkEnd w:id="99"/>
    <w:bookmarkStart w:name="z121" w:id="100"/>
    <w:p>
      <w:pPr>
        <w:spacing w:after="0"/>
        <w:ind w:left="0"/>
        <w:jc w:val="both"/>
      </w:pPr>
      <w:r>
        <w:rPr>
          <w:rFonts w:ascii="Times New Roman"/>
          <w:b w:val="false"/>
          <w:i w:val="false"/>
          <w:color w:val="000000"/>
          <w:sz w:val="28"/>
        </w:rPr>
        <w:t>
      28. В случае устранения эмитентом оснований для перевода его ценных бумаг в сегмент "Буфер для долговых ценных бумаг" официального списка фондовой биржи либо делистинга и представления подтверждающих документов фондовой бирже до момента принятия решения о переводе в сегмент "Буфер для долговых ценных бумаг" официального списка фондовой биржи либо делистинге ценных бумаг, данные ценные бумаги остаются в категории официального списка фондовой биржи, в которой они находились на момент возникновения оснований для перевода долговых ценных бумаг эмитента в сегмент "Буфер для долговых ценных бумаг" официального списка фондовой биржи, предусмотренных в пункте 16 Требований.</w:t>
      </w:r>
    </w:p>
    <w:bookmarkEnd w:id="100"/>
    <w:bookmarkStart w:name="z122" w:id="101"/>
    <w:p>
      <w:pPr>
        <w:spacing w:after="0"/>
        <w:ind w:left="0"/>
        <w:jc w:val="both"/>
      </w:pPr>
      <w:r>
        <w:rPr>
          <w:rFonts w:ascii="Times New Roman"/>
          <w:b w:val="false"/>
          <w:i w:val="false"/>
          <w:color w:val="000000"/>
          <w:sz w:val="28"/>
        </w:rPr>
        <w:t>
      29. Максимальный срок нахождения ценных бумаг в сегменте "Буфер для долговых ценных бумаг" официального списка фондовой биржи для ценных бумаг, которые находились на площадках "Основная" и "Частное размещение", составляет 12 (двенадцать) месяцев с даты принятия решения о переводе ценных бумаг эмитента в сегмент "Буфер для долговых ценных бумаг" официального списка фондовой биржи, для ценных бумаг, которые находились на иных площадках – 24 (двадцать четыре) месяца с указанной даты.</w:t>
      </w:r>
    </w:p>
    <w:bookmarkEnd w:id="101"/>
    <w:bookmarkStart w:name="z123" w:id="102"/>
    <w:p>
      <w:pPr>
        <w:spacing w:after="0"/>
        <w:ind w:left="0"/>
        <w:jc w:val="both"/>
      </w:pPr>
      <w:r>
        <w:rPr>
          <w:rFonts w:ascii="Times New Roman"/>
          <w:b w:val="false"/>
          <w:i w:val="false"/>
          <w:color w:val="000000"/>
          <w:sz w:val="28"/>
        </w:rPr>
        <w:t>
      30. В период нахождения ценных бумаг в сегменте "Буфер для долговых ценных бумаг" официального списка фондовой биржи эмитент (инициатор допуска) на ежеквартальной основе и по официальному запросу фондовой биржи представляет фондовой бирже:</w:t>
      </w:r>
    </w:p>
    <w:bookmarkEnd w:id="102"/>
    <w:bookmarkStart w:name="z124" w:id="103"/>
    <w:p>
      <w:pPr>
        <w:spacing w:after="0"/>
        <w:ind w:left="0"/>
        <w:jc w:val="both"/>
      </w:pPr>
      <w:r>
        <w:rPr>
          <w:rFonts w:ascii="Times New Roman"/>
          <w:b w:val="false"/>
          <w:i w:val="false"/>
          <w:color w:val="000000"/>
          <w:sz w:val="28"/>
        </w:rPr>
        <w:t>
      1) отчетность и информацию, перечень которых определяется внутренними документами фондовой биржи и листинговым договором, содержащими в том числе сведения о существенных событиях в деятельности эмитента;</w:t>
      </w:r>
    </w:p>
    <w:bookmarkEnd w:id="103"/>
    <w:bookmarkStart w:name="z125" w:id="104"/>
    <w:p>
      <w:pPr>
        <w:spacing w:after="0"/>
        <w:ind w:left="0"/>
        <w:jc w:val="both"/>
      </w:pPr>
      <w:r>
        <w:rPr>
          <w:rFonts w:ascii="Times New Roman"/>
          <w:b w:val="false"/>
          <w:i w:val="false"/>
          <w:color w:val="000000"/>
          <w:sz w:val="28"/>
        </w:rPr>
        <w:t>
      2) сведения о выполнении мероприятий, предусмотренных планом мероприятий.</w:t>
      </w:r>
    </w:p>
    <w:bookmarkEnd w:id="104"/>
    <w:bookmarkStart w:name="z126" w:id="105"/>
    <w:p>
      <w:pPr>
        <w:spacing w:after="0"/>
        <w:ind w:left="0"/>
        <w:jc w:val="both"/>
      </w:pPr>
      <w:r>
        <w:rPr>
          <w:rFonts w:ascii="Times New Roman"/>
          <w:b w:val="false"/>
          <w:i w:val="false"/>
          <w:color w:val="000000"/>
          <w:sz w:val="28"/>
        </w:rPr>
        <w:t>
      31. В случае устранения оснований для перевода ценных бумаг эмитента, которые ранее находились на площадках "Основная" или "Частное размещение", в сегмент "Буфер для долговых ценных бумаг" официального списка фондовой биржи в срок, установленный пунктом 29 Требований, данные ценные бумаги на основании решения листинговой комиссии переводятся из сегмента "Буфер для долговых ценных бумаг" официального списка фондовой биржи в соответствующую категорию сектора "долговые ценные бумаги" площадки "Основная" или "Частное размещение" официального списка фондовой биржи, в которой они находились ранее, а при несоответствии требованиям данной категории, переводятся в соответствующую категорию сектора "долговые ценные бумаги" площадки "Альтернативная" официального списка фондовой биржи.</w:t>
      </w:r>
    </w:p>
    <w:bookmarkEnd w:id="105"/>
    <w:bookmarkStart w:name="z127" w:id="106"/>
    <w:p>
      <w:pPr>
        <w:spacing w:after="0"/>
        <w:ind w:left="0"/>
        <w:jc w:val="both"/>
      </w:pPr>
      <w:r>
        <w:rPr>
          <w:rFonts w:ascii="Times New Roman"/>
          <w:b w:val="false"/>
          <w:i w:val="false"/>
          <w:color w:val="000000"/>
          <w:sz w:val="28"/>
        </w:rPr>
        <w:t>
      32. В случае устранения оснований для перевода ценных бумаг эмитента, которые ранее находились на площадке "Альтернативная", в сегмент "Буфер для долговых ценных бумаг" официального списка фондовой биржи в срок, установленный пунктом 29 Требований, данные ценные бумаги на основании решения листинговой комиссии переводятся из сегмента "Буфер для долговых ценных бумаг" официального списка фондовой биржи в соответствующую категорию сектора "долговые ценные бумаги" площадки "Альтернативная" официального списка фондовой биржи, в которой они находились ранее, а при несоответствии требованиям данной категории подвергаются делистингу.</w:t>
      </w:r>
    </w:p>
    <w:bookmarkEnd w:id="106"/>
    <w:bookmarkStart w:name="z128" w:id="107"/>
    <w:p>
      <w:pPr>
        <w:spacing w:after="0"/>
        <w:ind w:left="0"/>
        <w:jc w:val="both"/>
      </w:pPr>
      <w:r>
        <w:rPr>
          <w:rFonts w:ascii="Times New Roman"/>
          <w:b w:val="false"/>
          <w:i w:val="false"/>
          <w:color w:val="000000"/>
          <w:sz w:val="28"/>
        </w:rPr>
        <w:t>
      33. В случае проведения реструктуризации обязательств эмитента основанием для перевода его ценных бумаг из сегмента "Буфер для долговых ценных бумаг" официального списка фондовой биржи в категорию, в которой они находились ранее, является решение листинговой комиссии, принятое на основании документов, которые подтверждают завершение реструктуризации обязательств эмитента и соответствие этого эмитента и его ценных бумаг требованиям данной категории сектора "долговые ценные бумаги" официального списка фондовой биржи.</w:t>
      </w:r>
    </w:p>
    <w:bookmarkEnd w:id="107"/>
    <w:bookmarkStart w:name="z129" w:id="108"/>
    <w:p>
      <w:pPr>
        <w:spacing w:after="0"/>
        <w:ind w:left="0"/>
        <w:jc w:val="both"/>
      </w:pPr>
      <w:r>
        <w:rPr>
          <w:rFonts w:ascii="Times New Roman"/>
          <w:b w:val="false"/>
          <w:i w:val="false"/>
          <w:color w:val="000000"/>
          <w:sz w:val="28"/>
        </w:rPr>
        <w:t>
      34. Если эмитент во время нахождения его ценных в сегменте "Буфер для долговых ценных бумаг" официального списка фондовой биржи объявил о реструктуризации обязательств, его ценные бумаги остаются в сегменте "Буфер для долговых ценных бумаг" официального списка фондовой биржи.</w:t>
      </w:r>
    </w:p>
    <w:bookmarkEnd w:id="108"/>
    <w:bookmarkStart w:name="z130" w:id="109"/>
    <w:p>
      <w:pPr>
        <w:spacing w:after="0"/>
        <w:ind w:left="0"/>
        <w:jc w:val="both"/>
      </w:pPr>
      <w:r>
        <w:rPr>
          <w:rFonts w:ascii="Times New Roman"/>
          <w:b w:val="false"/>
          <w:i w:val="false"/>
          <w:color w:val="000000"/>
          <w:sz w:val="28"/>
        </w:rPr>
        <w:t>
      35. Ценные бумаги эмитента подлежат делистингу в следующих случаях:</w:t>
      </w:r>
    </w:p>
    <w:bookmarkEnd w:id="109"/>
    <w:bookmarkStart w:name="z131" w:id="110"/>
    <w:p>
      <w:pPr>
        <w:spacing w:after="0"/>
        <w:ind w:left="0"/>
        <w:jc w:val="both"/>
      </w:pPr>
      <w:r>
        <w:rPr>
          <w:rFonts w:ascii="Times New Roman"/>
          <w:b w:val="false"/>
          <w:i w:val="false"/>
          <w:color w:val="000000"/>
          <w:sz w:val="28"/>
        </w:rPr>
        <w:t>
      1) прекращение деятельности эмитента в результате реорганизации или ликвидации либо нахождение эмитента в процессе принудительной ликвидации;</w:t>
      </w:r>
    </w:p>
    <w:bookmarkEnd w:id="110"/>
    <w:bookmarkStart w:name="z132" w:id="111"/>
    <w:p>
      <w:pPr>
        <w:spacing w:after="0"/>
        <w:ind w:left="0"/>
        <w:jc w:val="both"/>
      </w:pPr>
      <w:r>
        <w:rPr>
          <w:rFonts w:ascii="Times New Roman"/>
          <w:b w:val="false"/>
          <w:i w:val="false"/>
          <w:color w:val="000000"/>
          <w:sz w:val="28"/>
        </w:rPr>
        <w:t>
      2) дефолт эмитента по выплате вознаграждения по своим обязательствам (за исключением вознаграждения за последний купонный период) и непредставления эмитентом плана мероприятий, предусмотренного в пункте 20 Требований;</w:t>
      </w:r>
    </w:p>
    <w:bookmarkEnd w:id="111"/>
    <w:bookmarkStart w:name="z133" w:id="112"/>
    <w:p>
      <w:pPr>
        <w:spacing w:after="0"/>
        <w:ind w:left="0"/>
        <w:jc w:val="both"/>
      </w:pPr>
      <w:r>
        <w:rPr>
          <w:rFonts w:ascii="Times New Roman"/>
          <w:b w:val="false"/>
          <w:i w:val="false"/>
          <w:color w:val="000000"/>
          <w:sz w:val="28"/>
        </w:rPr>
        <w:t>
      3) непредставление эмитентом плана мероприятий, предусмотренного в пункте 20 Требований либо заявления банка второго уровня, предусмотренного в пункте 21 Требований, при возникновении основания, указанного в подпункте 2) пункта 16 Требований;</w:t>
      </w:r>
    </w:p>
    <w:bookmarkEnd w:id="112"/>
    <w:bookmarkStart w:name="z134" w:id="113"/>
    <w:p>
      <w:pPr>
        <w:spacing w:after="0"/>
        <w:ind w:left="0"/>
        <w:jc w:val="both"/>
      </w:pPr>
      <w:r>
        <w:rPr>
          <w:rFonts w:ascii="Times New Roman"/>
          <w:b w:val="false"/>
          <w:i w:val="false"/>
          <w:color w:val="000000"/>
          <w:sz w:val="28"/>
        </w:rPr>
        <w:t>
      4) отклонение листинговой комиссией плана мероприятий, указанного в пункте 20 Требований;</w:t>
      </w:r>
    </w:p>
    <w:bookmarkEnd w:id="113"/>
    <w:bookmarkStart w:name="z135" w:id="114"/>
    <w:p>
      <w:pPr>
        <w:spacing w:after="0"/>
        <w:ind w:left="0"/>
        <w:jc w:val="both"/>
      </w:pPr>
      <w:r>
        <w:rPr>
          <w:rFonts w:ascii="Times New Roman"/>
          <w:b w:val="false"/>
          <w:i w:val="false"/>
          <w:color w:val="000000"/>
          <w:sz w:val="28"/>
        </w:rPr>
        <w:t>
      5) дефолт эмитента по своим обязательствам во время нахождения его ценных бумаг в сегменте "Буфер для долговых ценных бумаг" официального списка фондовой биржи в случае, если советом директоров эмитента (наблюдательным советом эмитента, созданного в иной помимо акционерного общества, организационно-правовой форме) не принято решение о реструктуризации обязательств;</w:t>
      </w:r>
    </w:p>
    <w:bookmarkEnd w:id="114"/>
    <w:bookmarkStart w:name="z136" w:id="115"/>
    <w:p>
      <w:pPr>
        <w:spacing w:after="0"/>
        <w:ind w:left="0"/>
        <w:jc w:val="both"/>
      </w:pPr>
      <w:r>
        <w:rPr>
          <w:rFonts w:ascii="Times New Roman"/>
          <w:b w:val="false"/>
          <w:i w:val="false"/>
          <w:color w:val="000000"/>
          <w:sz w:val="28"/>
        </w:rPr>
        <w:t>
      6) установление фондовой биржей факта невозможности устранения оснований для перевода в сегмент "Буфер для долговых ценных бумаг" официального списка фондовой биржи, предусмотренных в пункте 16 Требований;</w:t>
      </w:r>
    </w:p>
    <w:bookmarkEnd w:id="115"/>
    <w:bookmarkStart w:name="z137" w:id="116"/>
    <w:p>
      <w:pPr>
        <w:spacing w:after="0"/>
        <w:ind w:left="0"/>
        <w:jc w:val="both"/>
      </w:pPr>
      <w:r>
        <w:rPr>
          <w:rFonts w:ascii="Times New Roman"/>
          <w:b w:val="false"/>
          <w:i w:val="false"/>
          <w:color w:val="000000"/>
          <w:sz w:val="28"/>
        </w:rPr>
        <w:t>
      7) неустранение оснований для перевода долговых ценных бумаг эмитента в сегмент "Буфер для долговых ценных бумаг" официального списка фондовой биржи, предусмотренных в пункте 16 Требований, в срок, установленный пунктом 29 Требований;</w:t>
      </w:r>
    </w:p>
    <w:bookmarkEnd w:id="116"/>
    <w:bookmarkStart w:name="z138" w:id="117"/>
    <w:p>
      <w:pPr>
        <w:spacing w:after="0"/>
        <w:ind w:left="0"/>
        <w:jc w:val="both"/>
      </w:pPr>
      <w:r>
        <w:rPr>
          <w:rFonts w:ascii="Times New Roman"/>
          <w:b w:val="false"/>
          <w:i w:val="false"/>
          <w:color w:val="000000"/>
          <w:sz w:val="28"/>
        </w:rPr>
        <w:t>
      8) признание судом эмитента банкротом;</w:t>
      </w:r>
    </w:p>
    <w:bookmarkEnd w:id="117"/>
    <w:bookmarkStart w:name="z139" w:id="118"/>
    <w:p>
      <w:pPr>
        <w:spacing w:after="0"/>
        <w:ind w:left="0"/>
        <w:jc w:val="both"/>
      </w:pPr>
      <w:r>
        <w:rPr>
          <w:rFonts w:ascii="Times New Roman"/>
          <w:b w:val="false"/>
          <w:i w:val="false"/>
          <w:color w:val="000000"/>
          <w:sz w:val="28"/>
        </w:rPr>
        <w:t>
      9) арест имущества эмитента в размере, превышающем 50 (пятьдесят) процентов активов данного эмитента;</w:t>
      </w:r>
    </w:p>
    <w:bookmarkEnd w:id="118"/>
    <w:bookmarkStart w:name="z140" w:id="119"/>
    <w:p>
      <w:pPr>
        <w:spacing w:after="0"/>
        <w:ind w:left="0"/>
        <w:jc w:val="both"/>
      </w:pPr>
      <w:r>
        <w:rPr>
          <w:rFonts w:ascii="Times New Roman"/>
          <w:b w:val="false"/>
          <w:i w:val="false"/>
          <w:color w:val="000000"/>
          <w:sz w:val="28"/>
        </w:rPr>
        <w:t>
      10) непредставление эмитентом (инициатором допуска) информации во время нахождения эмитента и его ценных бумаг в сегменте "Буфер для долговых ценных бумаг" официального списка фондовой биржи, перечень которой указан в пункте 30 Требований;</w:t>
      </w:r>
    </w:p>
    <w:bookmarkEnd w:id="119"/>
    <w:bookmarkStart w:name="z141" w:id="120"/>
    <w:p>
      <w:pPr>
        <w:spacing w:after="0"/>
        <w:ind w:left="0"/>
        <w:jc w:val="both"/>
      </w:pPr>
      <w:r>
        <w:rPr>
          <w:rFonts w:ascii="Times New Roman"/>
          <w:b w:val="false"/>
          <w:i w:val="false"/>
          <w:color w:val="000000"/>
          <w:sz w:val="28"/>
        </w:rPr>
        <w:t>
      11) невыполнение мероприятий, предусмотренных планом мероприятий;</w:t>
      </w:r>
    </w:p>
    <w:bookmarkEnd w:id="120"/>
    <w:bookmarkStart w:name="z142" w:id="121"/>
    <w:p>
      <w:pPr>
        <w:spacing w:after="0"/>
        <w:ind w:left="0"/>
        <w:jc w:val="both"/>
      </w:pPr>
      <w:r>
        <w:rPr>
          <w:rFonts w:ascii="Times New Roman"/>
          <w:b w:val="false"/>
          <w:i w:val="false"/>
          <w:color w:val="000000"/>
          <w:sz w:val="28"/>
        </w:rPr>
        <w:t>
      12) иные случаи, предусмотренные внутренними документами фондовой биржи.".</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