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59f9" w14:textId="0d65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августа 2025 года № 53. Зарегистрировано в Министерстве юстиции Республики Казахстан 29 августа 2025 года № 36730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второго, третьего, пятого,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пятого,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пятого, шестого, седьмого, восьмого, одиннадцатого,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второго, третьего, пятого, шестого, двадцать шестого, двадцать седьмого, тридцать пятого, тридцать шестого, тридцать седьмого, сорокового и сорок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(далее – Перечень), которые вводятся в действие с 31 августа 2025 года;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седьмого, восьмого, девятого, десятого, одиннадцатого, двенадцатого, тринадцатого, четырнадцатого, пятнадцатого,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восьмого, девятого, десятого, одиннадцатого, двенадцатого, тринадцатого, четырнадцатого, пятнадцатого, шестнадцатого, семнадцатого, восемнадцатого, девятнадцатого, двадцатого, двадцать первого, двадцать второго, двадцать третьего, двадцать четвертого, двадцать пятого, тридцать третьего и тридцать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со 2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53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202 "Об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Казахстан" (зарегистрировано в Реестре государственной регистрации нормативных правовых актов под № 14298) следующее изменение: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Казахстан, утвержденных указанным постановлением: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выпуска, использования и погашения электронных денег, а также требования к эмитентам электронных денег и системам электронных денег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платежах и платежных системах" (далее – Закон о платежах и платежных системах) и определяют порядок выпуска, использования и погашения электронных денег на территории Республики Казахстан, а также требования к эмитентам электронных денег (далее – эмитент) и системам электронных денег на территории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(зарегистрировано в Реестре государственной регистрации нормативных правовых актов под № 14365) следующие изменение и дополнение: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утвержденных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кодов секторов экономики и назначения платежей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платежах и платежных системах" (далее – Закон о платежах и платежных системах) и определяют порядок применения кодов секторов экономики и назначения платежей, а также систему кодирования платежей.";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Детализированной 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 назначения платежей: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"Товары и нематериальные активы":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по коду назначения платежа 721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недвижимость, находящуюся на территории Республики Казахстан,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здания и сооружения, находящиеся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прибыли от эксплуатации недвижимости, находящейся на территории Республики Казахстан, по договорам совместной деятельности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с кодом назначения платежа 722 "Платежи за недвижимость, находящуюся вне территории Республики Казахстан, в том числе: платежи за здания и сооружения, находящиеся вне территории Республики Казахстан переводы денег, обеспечивающие долевое участие в недвижимости, находящейся вне территории Республики Казахстан, по договорам совместной деятельности выплата прибыли от эксплуатации недвижимости, находящейся вне территории Республики Казахстан, по договорам совместной деятельности" дополнить строкой, порядковым номером 723 следующего содержания: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(зарегистрировано в Реестре государственной регистрации нормативных правовых актов под № 14422) следующие изменения и дополнение: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утвержденных указанным постановлением: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открытия, ведения и закрытия банковских счетов клиентов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и определяют порядок открытия, ведения и закрытия банковских счетов клиентов в банках Республики Казахстан, филиалах банков-нерезидентов Республики Казахстан и организациях, осуществляющих открытие и ведение банковских счетов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 (далее – уполномоченный орган), а также в случае, когда законом Республики Казахстан, регулирующим деятельность такой организации, предусмотрена возможность осуществления указанных операций без лицензии (далее – банки).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а также следующее понятие: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идентификация – процедура установления личности клиента с целью однозначного подтверждения его прав на подписание заявления на открытие банковского счета и подписание договора банковского обслуживания путем использования одноразового (единовременного) кода.";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Открытие клиенту банковского счета осуществляется банком после принятия мер по надлежащей проверке клиентов (их представителей) и бенефициарных собственников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ПОДФТ), а также с учетом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почты, утвержденных постановлением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63-1 следующего содержания: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"63-1. Банки осуществляют отказ или приостановление исполнения указания и (или) расходных операций по банковскому счету, блокирование сумм денег на банковском счете при выявлении платежной транзакции с признаками мошенничества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72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основании заявления клиента в любое время, если иное не предусмотрено договором банковского обслуживания и (или)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(зарегистрировано в Реестре государственной регистрации нормативных правовых актов под № 14419) следующие изменения и дополнения: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указанным постановлением: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безналичных платежей и (или) переводов денег на территории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платежах и платежных системах" (далее – Закон о платежах и платежных системах) и определяют порядок осуществления безналичных платежей и (или) переводов денег на территории Республики Казахстан банками (в том числе банками-посредниками), филиалами банков-нерезидентов Республики Казахстан и организациями, осуществляющими отдельные виды банковских операций (далее – банки), формы и порядок оформления платежных документов, а также устанавливают требования к содержанию документа, подтверждающего оказание платежной услуги банками, платежными агентами и платежными субагентами банков и платежными организациями.";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Платежное поручение представляет собой указание отправителя денег банку о безналичном платеже и (или) переводе денег в пользу бенефициара в сумме и в соответствии с реквизитами, указанными в платежном поручении.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безналичного платежа и (или) перевода денег в пользу бенефициара в национальной валюте Республики Казахстан на территории Республики Казахстан отправитель денег предъявляет в банк платежное поручение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Межбанковское платежное поручение формируется по форме, согласно приложению 1-1 к Правилам.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уплаты платежей в бюджет отправитель денег предъявляет платежное поручение на уплату платежей в бюджет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уплаты платежей в бюджет допускается предъявление отправителем денег платежного поручения по форме, согласно приложению 1 к Правилам.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"назначение платежа" отправитель денег указывает назначение платежа, наименование, номер и дату документа (при его наличии), на основании которого осуществляется безналичный платеж и (или) перевод денег и иные реквизиты, предусмотренные Правилами, а также в графе "код назначения платежа" указывается кодовое обозначение платежа.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платежей в бюджет в платежном поручении указывается цифровое обозначение кода бюджетной классификации. Правильность указания кода бюджетной классификации в платежном поручении обеспечивается отправителем.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юридическим лицом платежей в бюджет, а также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 в Государственный фонд социального страхования, отчислений и (или) взносов в фонд социального медицинского страхования за свое обособленное подразделение в графе "Фактический плательщик" указывается наименование обособленного подразделения юридического лица, по обязательствам которого осуществляется платеж, а в графе "ИИН (БИН)" - его БИН.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налога на транспортное средство (в том числе через электронные терминалы) в графе "Назначение платежа" указываются в следующей последовательности "VIN", идентификационный номер транспортного средства, символы "/V", назначение платежа.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судебным исполнителем в рамках исполнительного производства платежей в бюджет по обязательствам должника в графе "Фактический плательщик" указываются фамилия, имя, отчество (при его наличии) должника, за которого осуществляется платеж, а также в графе "ИИН (БИН)" - его ИИН.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штрафов по административным правонарушениям в графе "Назначение платежа" указываются "ADM", идентификационный номер материала по административному правонарушению, символы "/A", назначение платежа.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платежей за приобретение доли в строящемся многоквартирном жилом доме или комплексе индивидуальных жилых домов по договорам о долевом участии в жилищном строительстве в графе "Назначение платежа" указываются "DDU",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строительстве, символы "/D", назначение платежа.";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23-1 и 23-2 следующего содержания: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При уплате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строительстве, указывается цифровое обозначение кода назначения платежа, выделенного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указания номера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и кода назначения платежа в платежном указании обеспечивается отправителем денег.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Банк отправителя денег осуществляет проверку по ИИН отправителя денег на наличие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случае, если кодовое обозначение назначения платежа в платежном поручении соответствует кодовому обозначению назначения платежа, выделенному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строительстве.";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В платежном извещении на уплату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 в графе "Назначение платежа" указываются "DDU",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строительстве, символы "/D", назначение платежа.";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79-1 следующего содержания: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"79-1. Банк отказывает в исполнении указания или приостанавливает исполнение указания и (или) расходные операции по банковскому счету, блокирует сумму платежа и (или) перевода денег по выявленным платежным транзакциям с признаками мошенничества клиента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несоответствия формам, установленным приложениями 1, 1-1, 2, 4, 12, 13, 14, 15, 15-1 и 15-2 к Правилам;";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в случае, когда требование предъявлено к банковскому счету, предназначенному для зачисления компенсации инвестиционных затрат, в соответствии с законодательством Республики Казахстан в области государственно-частного партнерства, за исключением изъятия денег по требованиям, относящимся к первой, второй и третьей очередям в соответствии с очередностью,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742 Гражданского кодекса, а также по требованиям, предъявляемым в рамках исполнения обязательств частного партнера перед кредитором, обеспеченных правом требования по договору государственно-частного партнерства, договору финансирования под уступку денежного требования;";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отсутствия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случае, предусмотренном пунктом 23-2 Правил.";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зачисления денег на текущий счет, открытый для целей, предусмотренных подпунктами 1), 1-1), 2), 2-1), 2-3), 3), 4), 5-1), 5-2), 5-3), 7), 7-1), 8), 9) части второй статьи 741 Гражданского кодекса, в случае, если зачисляемая сумма денег не связана с целью и условиями открытия текущего счета;";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зачисления денег на текущий счет, предназначенный для зачисления компенсации инвестиционных затрат, в случае, если зачисляемая сумма денег не связана с выплатой компенсаций инвестиционных затрат, выплачиваемых в рамках договора финансирования под уступку денежного требования и (или) договора государственно-частного партнерства, заключенных в соответствии с законодательством Республики Казахстан в области государственно-частного партнерства;";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188-1 следующего содержания: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"188-1. Возврат денег, заблокированных при выявлении платежной транзакции с признаками мошенничества, осуществляется банком бенефициара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системах.".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