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bc0d" w14:textId="2e8b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суммарного размера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 и утверждении Перечня финансовых инструментов, которые могут входить в состав активов эндаумент-фонда (целевого капитала), Правил управления управляющими компаниями (фидуциариями) финансовыми инструментами, которые могут входить в состав активов эндаумент-фонда (целевого капитала), а также Правил расчета и определения стоимости чистых активов и активов эндаумент-фонда (целевого капитала)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44. Зарегистрировано в Министерстве юстиции Республики Казахстан 29 августа 2025 года № 36725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31 августа 2025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 </w:t>
      </w:r>
      <w:r>
        <w:rPr>
          <w:rFonts w:ascii="Times New Roman"/>
          <w:b w:val="false"/>
          <w:i w:val="false"/>
          <w:color w:val="000000"/>
          <w:sz w:val="28"/>
        </w:rPr>
        <w:t>пунктом 4</w:t>
      </w:r>
      <w:r>
        <w:rPr>
          <w:rFonts w:ascii="Times New Roman"/>
          <w:b w:val="false"/>
          <w:i w:val="false"/>
          <w:color w:val="000000"/>
          <w:sz w:val="28"/>
        </w:rPr>
        <w:t xml:space="preserve"> статьи 27 и </w:t>
      </w:r>
      <w:r>
        <w:rPr>
          <w:rFonts w:ascii="Times New Roman"/>
          <w:b w:val="false"/>
          <w:i w:val="false"/>
          <w:color w:val="000000"/>
          <w:sz w:val="28"/>
        </w:rPr>
        <w:t>пунктом 1</w:t>
      </w:r>
      <w:r>
        <w:rPr>
          <w:rFonts w:ascii="Times New Roman"/>
          <w:b w:val="false"/>
          <w:i w:val="false"/>
          <w:color w:val="000000"/>
          <w:sz w:val="28"/>
        </w:rPr>
        <w:t xml:space="preserve"> статьи 28 Закона Республики Казахстан "О фондах целевого капитала и эндаумент-фондах (целевых капиталах)"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Установить суммарный размер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 в размере не более 30 (тридцати) процентов от стоимости чистых активов эндаумент-фонда (целевого капитала).</w:t>
      </w:r>
    </w:p>
    <w:bookmarkEnd w:id="1"/>
    <w:bookmarkStart w:name="z7" w:id="2"/>
    <w:p>
      <w:pPr>
        <w:spacing w:after="0"/>
        <w:ind w:left="0"/>
        <w:jc w:val="both"/>
      </w:pPr>
      <w:r>
        <w:rPr>
          <w:rFonts w:ascii="Times New Roman"/>
          <w:b w:val="false"/>
          <w:i w:val="false"/>
          <w:color w:val="000000"/>
          <w:sz w:val="28"/>
        </w:rPr>
        <w:t>
      2.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которые могут входить в состав активов эндаумент-фонда (целевого капитала),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управления управляющими компаниями (фидуциариями) финансовыми инструментами, которые могут входить в состав активов эндаумент-фонда (целевого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расчета стоимости чистых активов и активов эндаумент-фонда (целевого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6"/>
    <w:bookmarkStart w:name="z12" w:id="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6" w:id="11"/>
    <w:p>
      <w:pPr>
        <w:spacing w:after="0"/>
        <w:ind w:left="0"/>
        <w:jc w:val="both"/>
      </w:pPr>
      <w:r>
        <w:rPr>
          <w:rFonts w:ascii="Times New Roman"/>
          <w:b w:val="false"/>
          <w:i w:val="false"/>
          <w:color w:val="000000"/>
          <w:sz w:val="28"/>
        </w:rPr>
        <w:t>
      5. Настоящее постановление вводится в действие с 31 августа 2025 года и подлежит обязательному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20"/>
              <w:ind w:left="20"/>
              <w:jc w:val="both"/>
            </w:pPr>
            <w:r>
              <w:rPr>
                <w:rFonts w:ascii="Times New Roman"/>
                <w:b w:val="false"/>
                <w:i/>
                <w:color w:val="000000"/>
                <w:sz w:val="20"/>
              </w:rPr>
              <w:t xml:space="preserve">по регулированию и развитию </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44</w:t>
            </w:r>
          </w:p>
        </w:tc>
      </w:tr>
    </w:tbl>
    <w:bookmarkStart w:name="z19" w:id="12"/>
    <w:p>
      <w:pPr>
        <w:spacing w:after="0"/>
        <w:ind w:left="0"/>
        <w:jc w:val="left"/>
      </w:pPr>
      <w:r>
        <w:rPr>
          <w:rFonts w:ascii="Times New Roman"/>
          <w:b/>
          <w:i w:val="false"/>
          <w:color w:val="000000"/>
        </w:rPr>
        <w:t xml:space="preserve"> Перечень финансовых инструментов, которые могут входить в состав активов эндаумент-фондов (целевых капиталов)</w:t>
      </w:r>
    </w:p>
    <w:bookmarkEnd w:id="12"/>
    <w:bookmarkStart w:name="z20" w:id="13"/>
    <w:p>
      <w:pPr>
        <w:spacing w:after="0"/>
        <w:ind w:left="0"/>
        <w:jc w:val="both"/>
      </w:pPr>
      <w:r>
        <w:rPr>
          <w:rFonts w:ascii="Times New Roman"/>
          <w:b w:val="false"/>
          <w:i w:val="false"/>
          <w:color w:val="000000"/>
          <w:sz w:val="28"/>
        </w:rPr>
        <w:t>
      Перечень финансовых инструментов, в которые управляющая компания (фидуциарий) инвестирует находящиеся в инвестиционном управлении активы каждого отдельного эндаумент-фонда (целевого капитала):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"kzВB-"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акции эмитентов, имеющих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секторов "акции" официального списка фондовой биржи и (или) акции эмитентов,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долговые ценные бумаги, имеющие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секторов "долговые ценные бумаги" официального списка фондовой биржи и (или) долговые ценные бумаги,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инфраструктурные облигации организаций Республики Казахстан, включенные в официальный список фондовой биржи и (или) инфраструктурные облигации организаций Республики Казахстан,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паи паевых инвестиционных фондов, управляющая компания (фидуциарий) которых является юридическим лицом, созданным в соответствии с законодательством Республики Казахстан либо Международного Финансового Центра "Астана" (за исключением паевых инвестиционных фондов, управляющей компанией которых является управляющая компания (фидуциарий) фонда целевого капитала, за счет активов которого приобретаются данные паи);</w:t>
            </w:r>
          </w:p>
          <w:p>
            <w:pPr>
              <w:spacing w:after="20"/>
              <w:ind w:left="20"/>
              <w:jc w:val="both"/>
            </w:pPr>
            <w:r>
              <w:rPr>
                <w:rFonts w:ascii="Times New Roman"/>
                <w:b w:val="false"/>
                <w:i w:val="false"/>
                <w:color w:val="000000"/>
                <w:sz w:val="20"/>
              </w:rPr>
              <w:t>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настоящего пункта,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Азиатским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bookmarkEnd w:id="17"/>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признаваемыми резидентами Республики Казахстан,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Principal protected notes (Принципл протектед ноутс), выпущенные организациями, имеющими рейтинговую оценку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 которые соответствуют следующим условиям:</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срок обращения не превышает пяти лет;</w:t>
            </w:r>
          </w:p>
          <w:p>
            <w:pPr>
              <w:spacing w:after="20"/>
              <w:ind w:left="20"/>
              <w:jc w:val="both"/>
            </w:pPr>
            <w:r>
              <w:rPr>
                <w:rFonts w:ascii="Times New Roman"/>
                <w:b w:val="false"/>
                <w:i w:val="false"/>
                <w:color w:val="000000"/>
                <w:sz w:val="20"/>
              </w:rPr>
              <w:t>
условиями выпуска principal protected notes (принципл протектед ноутс)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эндаумент-фонда (целевого капитала), иностранная валюта, а также следующие расчетные показатели (индексы):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AIX (Astana International Exchange) (Астана Интернейшнл Эксчейндж);</w:t>
            </w:r>
          </w:p>
          <w:p>
            <w:pPr>
              <w:spacing w:after="20"/>
              <w:ind w:left="20"/>
              <w:jc w:val="both"/>
            </w:pPr>
            <w:r>
              <w:rPr>
                <w:rFonts w:ascii="Times New Roman"/>
                <w:b w:val="false"/>
                <w:i w:val="false"/>
                <w:color w:val="000000"/>
                <w:sz w:val="20"/>
              </w:rPr>
              <w:t>
</w:t>
            </w: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
</w:t>
            </w: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KASE (Kazakhstan Stock Exchange Index) (Казахстан Сток Эксчейндж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
NASDAQ-100 (Nasdaq-100 Index)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w:t>
            </w:r>
          </w:p>
        </w:tc>
      </w:tr>
    </w:tbl>
    <w:bookmarkStart w:name="z57" w:id="20"/>
    <w:p>
      <w:pPr>
        <w:spacing w:after="0"/>
        <w:ind w:left="0"/>
        <w:jc w:val="left"/>
      </w:pPr>
      <w:r>
        <w:rPr>
          <w:rFonts w:ascii="Times New Roman"/>
          <w:b/>
          <w:i w:val="false"/>
          <w:color w:val="000000"/>
        </w:rPr>
        <w:t xml:space="preserve"> Правила управления управляющими компаниями (фидуциариями) финансовыми инструментами, которые могут входить в состав активов эндаумент-фонда (целевого капитала)</w:t>
      </w:r>
    </w:p>
    <w:bookmarkEnd w:id="20"/>
    <w:bookmarkStart w:name="z58" w:id="21"/>
    <w:p>
      <w:pPr>
        <w:spacing w:after="0"/>
        <w:ind w:left="0"/>
        <w:jc w:val="both"/>
      </w:pPr>
      <w:r>
        <w:rPr>
          <w:rFonts w:ascii="Times New Roman"/>
          <w:b w:val="false"/>
          <w:i w:val="false"/>
          <w:color w:val="000000"/>
          <w:sz w:val="28"/>
        </w:rPr>
        <w:t xml:space="preserve">
      Настоящие Правила управления управляющими компаниями (фидуциариями) финансовыми инструментами, которые могут входить в состав активов эндаумент-фонда (целевого капитала)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9 закона Республики Казахстан "О фондах целевого капитала и эндаумент-фондах (целевых капиталах)" (далее – Закон) и устанавливают порядок управления управляющими компаниями (фидуциариями) финансовыми инструментами, которые могут входить в состав активов эндаумент-фонда (целевого капитала).</w:t>
      </w:r>
    </w:p>
    <w:bookmarkEnd w:id="21"/>
    <w:bookmarkStart w:name="z59" w:id="22"/>
    <w:p>
      <w:pPr>
        <w:spacing w:after="0"/>
        <w:ind w:left="0"/>
        <w:jc w:val="both"/>
      </w:pPr>
      <w:r>
        <w:rPr>
          <w:rFonts w:ascii="Times New Roman"/>
          <w:b w:val="false"/>
          <w:i w:val="false"/>
          <w:color w:val="000000"/>
          <w:sz w:val="28"/>
        </w:rPr>
        <w:t>
      1. Для целей Правил используются следующие понятия:</w:t>
      </w:r>
    </w:p>
    <w:bookmarkEnd w:id="22"/>
    <w:bookmarkStart w:name="z60" w:id="23"/>
    <w:p>
      <w:pPr>
        <w:spacing w:after="0"/>
        <w:ind w:left="0"/>
        <w:jc w:val="both"/>
      </w:pP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p>
    <w:bookmarkEnd w:id="23"/>
    <w:bookmarkStart w:name="z61" w:id="24"/>
    <w:p>
      <w:pPr>
        <w:spacing w:after="0"/>
        <w:ind w:left="0"/>
        <w:jc w:val="both"/>
      </w:pPr>
      <w:r>
        <w:rPr>
          <w:rFonts w:ascii="Times New Roman"/>
          <w:b w:val="false"/>
          <w:i w:val="false"/>
          <w:color w:val="000000"/>
          <w:sz w:val="28"/>
        </w:rPr>
        <w:t>
      2) управляющая компания (фидуциарий) - профессиональный участник рынка ценных бумаг, осуществляющий деятельность по управлению инвестиционным портфелем на основании лицензии уполномоченного органа по регулированию, контролю и надзору финансового рынка и финансовых организаций, либо фонд целевого капитала, осуществляющий деятельность по управлению активами эндаумент-фондов (целевых капиталов) самостоятельно;</w:t>
      </w:r>
    </w:p>
    <w:bookmarkEnd w:id="24"/>
    <w:bookmarkStart w:name="z62" w:id="25"/>
    <w:p>
      <w:pPr>
        <w:spacing w:after="0"/>
        <w:ind w:left="0"/>
        <w:jc w:val="both"/>
      </w:pPr>
      <w:r>
        <w:rPr>
          <w:rFonts w:ascii="Times New Roman"/>
          <w:b w:val="false"/>
          <w:i w:val="false"/>
          <w:color w:val="000000"/>
          <w:sz w:val="28"/>
        </w:rPr>
        <w:t>
      3)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p>
    <w:bookmarkEnd w:id="25"/>
    <w:bookmarkStart w:name="z63" w:id="26"/>
    <w:p>
      <w:pPr>
        <w:spacing w:after="0"/>
        <w:ind w:left="0"/>
        <w:jc w:val="both"/>
      </w:pPr>
      <w:r>
        <w:rPr>
          <w:rFonts w:ascii="Times New Roman"/>
          <w:b w:val="false"/>
          <w:i w:val="false"/>
          <w:color w:val="000000"/>
          <w:sz w:val="28"/>
        </w:rPr>
        <w:t>
      4)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26"/>
    <w:bookmarkStart w:name="z64" w:id="27"/>
    <w:p>
      <w:pPr>
        <w:spacing w:after="0"/>
        <w:ind w:left="0"/>
        <w:jc w:val="both"/>
      </w:pPr>
      <w:r>
        <w:rPr>
          <w:rFonts w:ascii="Times New Roman"/>
          <w:b w:val="false"/>
          <w:i w:val="false"/>
          <w:color w:val="000000"/>
          <w:sz w:val="28"/>
        </w:rPr>
        <w:t>
      5) principal protected notes (принципл протектед ноутс) – долговые ценные бумаги, по которым установлена гарантия эмитента по полному возврату суммы основного долга.</w:t>
      </w:r>
    </w:p>
    <w:bookmarkEnd w:id="27"/>
    <w:bookmarkStart w:name="z65" w:id="28"/>
    <w:p>
      <w:pPr>
        <w:spacing w:after="0"/>
        <w:ind w:left="0"/>
        <w:jc w:val="both"/>
      </w:pPr>
      <w:r>
        <w:rPr>
          <w:rFonts w:ascii="Times New Roman"/>
          <w:b w:val="false"/>
          <w:i w:val="false"/>
          <w:color w:val="000000"/>
          <w:sz w:val="28"/>
        </w:rPr>
        <w:t xml:space="preserve">
      2. Управляющая компания (фидуциарий) осуществляет инвестиционное управление инвестиционным портфелем в соответствии с требованиями Закона, </w:t>
      </w:r>
      <w:r>
        <w:rPr>
          <w:rFonts w:ascii="Times New Roman"/>
          <w:b w:val="false"/>
          <w:i w:val="false"/>
          <w:color w:val="000000"/>
          <w:sz w:val="28"/>
        </w:rPr>
        <w:t>Правил</w:t>
      </w:r>
      <w:r>
        <w:rPr>
          <w:rFonts w:ascii="Times New Roman"/>
          <w:b w:val="false"/>
          <w:i w:val="false"/>
          <w:color w:val="000000"/>
          <w:sz w:val="28"/>
        </w:rPr>
        <w:t xml:space="preserve">, постановления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договором доверительного управления, инвестиционной декларацией эндаумент-фонда (целевого капитала) и фидуциарными обязательствами.</w:t>
      </w:r>
    </w:p>
    <w:bookmarkEnd w:id="28"/>
    <w:bookmarkStart w:name="z66" w:id="29"/>
    <w:p>
      <w:pPr>
        <w:spacing w:after="0"/>
        <w:ind w:left="0"/>
        <w:jc w:val="both"/>
      </w:pPr>
      <w:r>
        <w:rPr>
          <w:rFonts w:ascii="Times New Roman"/>
          <w:b w:val="false"/>
          <w:i w:val="false"/>
          <w:color w:val="000000"/>
          <w:sz w:val="28"/>
        </w:rPr>
        <w:t>
      3. Управляющая компания (фидуциарий) заключает сделки за счет активов эндаумент-фондов (целевых капиталов), принятых в инвестиционное управление, самостоятельно при наличии лицензии на осуществление брокерской и (или) дилерской деятельности либо с использованием услуг юридических лиц, обладающих правом заключать сделки с финансовыми инструментами в соответствии с законодательством Республики Казахстан или иностранного государства (при заключении сделок за счет активов эндаумент-фонда (целевого капитала) за пределами Республики Казахстан).</w:t>
      </w:r>
    </w:p>
    <w:bookmarkEnd w:id="29"/>
    <w:bookmarkStart w:name="z67" w:id="30"/>
    <w:p>
      <w:pPr>
        <w:spacing w:after="0"/>
        <w:ind w:left="0"/>
        <w:jc w:val="both"/>
      </w:pPr>
      <w:r>
        <w:rPr>
          <w:rFonts w:ascii="Times New Roman"/>
          <w:b w:val="false"/>
          <w:i w:val="false"/>
          <w:color w:val="000000"/>
          <w:sz w:val="28"/>
        </w:rPr>
        <w:t>
      Сделки за счет активов эндаумент-фонда (целевого капитала), принятых управляющей компанией (фидуциарием) в инвестиционное управление, с негосударственными ценными бумагами на первичном неорганизованном рынке (при их размещении), а также с ценными бумагами, не допущенными к обращению на организованном рынке ценных бумаг, и долями участия в уставном капитале юридических лиц совершаются управляющей компанией (фидуциарием) самостоятельно.</w:t>
      </w:r>
    </w:p>
    <w:bookmarkEnd w:id="30"/>
    <w:bookmarkStart w:name="z68" w:id="31"/>
    <w:p>
      <w:pPr>
        <w:spacing w:after="0"/>
        <w:ind w:left="0"/>
        <w:jc w:val="both"/>
      </w:pPr>
      <w:r>
        <w:rPr>
          <w:rFonts w:ascii="Times New Roman"/>
          <w:b w:val="false"/>
          <w:i w:val="false"/>
          <w:color w:val="000000"/>
          <w:sz w:val="28"/>
        </w:rPr>
        <w:t xml:space="preserve">
      4. При заключении сделок с финансовыми инструментами управляющая компания (фидуциарий) руководствуется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w:t>
      </w:r>
    </w:p>
    <w:bookmarkEnd w:id="31"/>
    <w:bookmarkStart w:name="z69" w:id="32"/>
    <w:p>
      <w:pPr>
        <w:spacing w:after="0"/>
        <w:ind w:left="0"/>
        <w:jc w:val="both"/>
      </w:pPr>
      <w:r>
        <w:rPr>
          <w:rFonts w:ascii="Times New Roman"/>
          <w:b w:val="false"/>
          <w:i w:val="false"/>
          <w:color w:val="000000"/>
          <w:sz w:val="28"/>
        </w:rPr>
        <w:t>
      5. Если договором по управлению инвестиционным портфелем, составляющим активы эндаумент-фонда (целевого капитала) предусмотрена возможность передачи управляющей компанией (фидуциарием) исполнения условий указанного договора другому лицу, то договором также предусматривается:</w:t>
      </w:r>
    </w:p>
    <w:bookmarkEnd w:id="32"/>
    <w:bookmarkStart w:name="z70" w:id="33"/>
    <w:p>
      <w:pPr>
        <w:spacing w:after="0"/>
        <w:ind w:left="0"/>
        <w:jc w:val="both"/>
      </w:pPr>
      <w:r>
        <w:rPr>
          <w:rFonts w:ascii="Times New Roman"/>
          <w:b w:val="false"/>
          <w:i w:val="false"/>
          <w:color w:val="000000"/>
          <w:sz w:val="28"/>
        </w:rPr>
        <w:t>
      1) ответственность управляющей компании (фидуциария) по обязательствам перед фондом целевого капитала;</w:t>
      </w:r>
    </w:p>
    <w:bookmarkEnd w:id="33"/>
    <w:bookmarkStart w:name="z71" w:id="34"/>
    <w:p>
      <w:pPr>
        <w:spacing w:after="0"/>
        <w:ind w:left="0"/>
        <w:jc w:val="both"/>
      </w:pPr>
      <w:r>
        <w:rPr>
          <w:rFonts w:ascii="Times New Roman"/>
          <w:b w:val="false"/>
          <w:i w:val="false"/>
          <w:color w:val="000000"/>
          <w:sz w:val="28"/>
        </w:rPr>
        <w:t>
      2) условие управления активами эндаумент-фонда (целевого капитала) с соблюдением Правил и инвестиционной декларации фонда целевого капитала.</w:t>
      </w:r>
    </w:p>
    <w:bookmarkEnd w:id="34"/>
    <w:bookmarkStart w:name="z72" w:id="35"/>
    <w:p>
      <w:pPr>
        <w:spacing w:after="0"/>
        <w:ind w:left="0"/>
        <w:jc w:val="both"/>
      </w:pPr>
      <w:r>
        <w:rPr>
          <w:rFonts w:ascii="Times New Roman"/>
          <w:b w:val="false"/>
          <w:i w:val="false"/>
          <w:color w:val="000000"/>
          <w:sz w:val="28"/>
        </w:rPr>
        <w:t xml:space="preserve">
      6. Управляющая компания (фидуциарий) инвестирует активы эндаумент-фондов (целевых капиталов), находящиеся в инвестиционном управлении, в перечень финансовых инструментов, которые могут входить в состав активов эндаумент-фондов (целевых капиталов), определенный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9 Закона.</w:t>
      </w:r>
    </w:p>
    <w:bookmarkEnd w:id="35"/>
    <w:bookmarkStart w:name="z73" w:id="36"/>
    <w:p>
      <w:pPr>
        <w:spacing w:after="0"/>
        <w:ind w:left="0"/>
        <w:jc w:val="both"/>
      </w:pPr>
      <w:r>
        <w:rPr>
          <w:rFonts w:ascii="Times New Roman"/>
          <w:b w:val="false"/>
          <w:i w:val="false"/>
          <w:color w:val="000000"/>
          <w:sz w:val="28"/>
        </w:rPr>
        <w:t>
      Активы эндаумент-фондов (целевых капиталов), находящиеся в инвестиционном управлении у управляющей компании (фидуциария), инвестируются в перечень объектов инвестирования, определенный инвестиционной декларацией фонда целевого капитала.</w:t>
      </w:r>
    </w:p>
    <w:bookmarkEnd w:id="36"/>
    <w:bookmarkStart w:name="z74" w:id="37"/>
    <w:p>
      <w:pPr>
        <w:spacing w:after="0"/>
        <w:ind w:left="0"/>
        <w:jc w:val="both"/>
      </w:pPr>
      <w:r>
        <w:rPr>
          <w:rFonts w:ascii="Times New Roman"/>
          <w:b w:val="false"/>
          <w:i w:val="false"/>
          <w:color w:val="000000"/>
          <w:sz w:val="28"/>
        </w:rPr>
        <w:t>
      7. Заключение сделок с производными финансовыми инструментами за счет активов эндаумент-фондов (целевых капиталов) допускается для целей хеджирования при условии, что данные производные финансовые инструменты предусмотрены перечнем финансовых инструментов, которые могут входить в состав активов эндаумент-фондов (целевых капиталов), определенным в соответствии с подпунктом 1) статьи 9 Закона.</w:t>
      </w:r>
    </w:p>
    <w:bookmarkEnd w:id="37"/>
    <w:bookmarkStart w:name="z75" w:id="38"/>
    <w:p>
      <w:pPr>
        <w:spacing w:after="0"/>
        <w:ind w:left="0"/>
        <w:jc w:val="both"/>
      </w:pPr>
      <w:r>
        <w:rPr>
          <w:rFonts w:ascii="Times New Roman"/>
          <w:b w:val="false"/>
          <w:i w:val="false"/>
          <w:color w:val="000000"/>
          <w:sz w:val="28"/>
        </w:rPr>
        <w:t>
      8. Управляющая компания (фидуциарий) осуществляет инвестирование активов эндаумент-фонда (целевого капитала) при соблюдении лимитов инвестирования, установленных настоящими Правилами и инвестиционной декларацией фонда целевого капитала.</w:t>
      </w:r>
    </w:p>
    <w:bookmarkEnd w:id="38"/>
    <w:bookmarkStart w:name="z76" w:id="39"/>
    <w:p>
      <w:pPr>
        <w:spacing w:after="0"/>
        <w:ind w:left="0"/>
        <w:jc w:val="both"/>
      </w:pPr>
      <w:r>
        <w:rPr>
          <w:rFonts w:ascii="Times New Roman"/>
          <w:b w:val="false"/>
          <w:i w:val="false"/>
          <w:color w:val="000000"/>
          <w:sz w:val="28"/>
        </w:rPr>
        <w:t>
      9. Управляющая компания (фидуциарий) в процессе управления активами эндаумент-фондов (целевых капиталов) не принимает инвестиционных решений, предполагающих:</w:t>
      </w:r>
    </w:p>
    <w:bookmarkEnd w:id="39"/>
    <w:bookmarkStart w:name="z77" w:id="40"/>
    <w:p>
      <w:pPr>
        <w:spacing w:after="0"/>
        <w:ind w:left="0"/>
        <w:jc w:val="both"/>
      </w:pPr>
      <w:r>
        <w:rPr>
          <w:rFonts w:ascii="Times New Roman"/>
          <w:b w:val="false"/>
          <w:i w:val="false"/>
          <w:color w:val="000000"/>
          <w:sz w:val="28"/>
        </w:rPr>
        <w:t>
      1) приобретение финансовых инструментов за счет активов эндаумент-фонда (целевого капитала), по которым эмитентом допущен дефолт, за исключением обмена (конвертирования) ценных бумаг и иных обязательств эмитента на ценные бумаги данного эмитента, выпущенные в целях реструктуризации обязательств эмитента, либо приостановлены торги фондовой биржей;</w:t>
      </w:r>
    </w:p>
    <w:bookmarkEnd w:id="40"/>
    <w:bookmarkStart w:name="z78" w:id="41"/>
    <w:p>
      <w:pPr>
        <w:spacing w:after="0"/>
        <w:ind w:left="0"/>
        <w:jc w:val="both"/>
      </w:pPr>
      <w:r>
        <w:rPr>
          <w:rFonts w:ascii="Times New Roman"/>
          <w:b w:val="false"/>
          <w:i w:val="false"/>
          <w:color w:val="000000"/>
          <w:sz w:val="28"/>
        </w:rPr>
        <w:t>
      2) заключение сделок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w:t>
      </w:r>
    </w:p>
    <w:bookmarkEnd w:id="41"/>
    <w:bookmarkStart w:name="z79" w:id="42"/>
    <w:p>
      <w:pPr>
        <w:spacing w:after="0"/>
        <w:ind w:left="0"/>
        <w:jc w:val="both"/>
      </w:pPr>
      <w:r>
        <w:rPr>
          <w:rFonts w:ascii="Times New Roman"/>
          <w:b w:val="false"/>
          <w:i w:val="false"/>
          <w:color w:val="000000"/>
          <w:sz w:val="28"/>
        </w:rPr>
        <w:t>
      3) участие активами эндаумент-фондов (целевых капиталов) в простых товариществах;</w:t>
      </w:r>
    </w:p>
    <w:bookmarkEnd w:id="42"/>
    <w:bookmarkStart w:name="z80" w:id="43"/>
    <w:p>
      <w:pPr>
        <w:spacing w:after="0"/>
        <w:ind w:left="0"/>
        <w:jc w:val="both"/>
      </w:pPr>
      <w:r>
        <w:rPr>
          <w:rFonts w:ascii="Times New Roman"/>
          <w:b w:val="false"/>
          <w:i w:val="false"/>
          <w:color w:val="000000"/>
          <w:sz w:val="28"/>
        </w:rPr>
        <w:t>
      4) приобретение долей участия в хозяйственных товариществах, имеющих отрицательный собственный капитал на дату принятия инвестиционного решения;</w:t>
      </w:r>
    </w:p>
    <w:bookmarkEnd w:id="43"/>
    <w:bookmarkStart w:name="z81" w:id="44"/>
    <w:p>
      <w:pPr>
        <w:spacing w:after="0"/>
        <w:ind w:left="0"/>
        <w:jc w:val="both"/>
      </w:pPr>
      <w:r>
        <w:rPr>
          <w:rFonts w:ascii="Times New Roman"/>
          <w:b w:val="false"/>
          <w:i w:val="false"/>
          <w:color w:val="000000"/>
          <w:sz w:val="28"/>
        </w:rPr>
        <w:t>
      5) приобретение финансовых инструментов, выпущенных (предоставленных) юридическими лицами, более пятидесяти процентов активов которых являются предметом судебного разбирательства.</w:t>
      </w:r>
    </w:p>
    <w:bookmarkEnd w:id="44"/>
    <w:bookmarkStart w:name="z82" w:id="45"/>
    <w:p>
      <w:pPr>
        <w:spacing w:after="0"/>
        <w:ind w:left="0"/>
        <w:jc w:val="both"/>
      </w:pPr>
      <w:r>
        <w:rPr>
          <w:rFonts w:ascii="Times New Roman"/>
          <w:b w:val="false"/>
          <w:i w:val="false"/>
          <w:color w:val="000000"/>
          <w:sz w:val="28"/>
        </w:rPr>
        <w:t>
      10. Сделки за счет активов эндаумент-фонда (целевого капитала) совершаются на международных (иностранных) рынках ценных бумаг при соблюдении следующих условий:</w:t>
      </w:r>
    </w:p>
    <w:bookmarkEnd w:id="45"/>
    <w:bookmarkStart w:name="z83" w:id="46"/>
    <w:p>
      <w:pPr>
        <w:spacing w:after="0"/>
        <w:ind w:left="0"/>
        <w:jc w:val="both"/>
      </w:pPr>
      <w:r>
        <w:rPr>
          <w:rFonts w:ascii="Times New Roman"/>
          <w:b w:val="false"/>
          <w:i w:val="false"/>
          <w:color w:val="000000"/>
          <w:sz w:val="28"/>
        </w:rPr>
        <w:t>
      1) сделка по покупке акций (депозитарных расписок, базовым активом которых являются акции)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(Блумберг) или Reuters (Рейтер);</w:t>
      </w:r>
    </w:p>
    <w:bookmarkEnd w:id="46"/>
    <w:bookmarkStart w:name="z84" w:id="47"/>
    <w:p>
      <w:pPr>
        <w:spacing w:after="0"/>
        <w:ind w:left="0"/>
        <w:jc w:val="both"/>
      </w:pPr>
      <w:r>
        <w:rPr>
          <w:rFonts w:ascii="Times New Roman"/>
          <w:b w:val="false"/>
          <w:i w:val="false"/>
          <w:color w:val="000000"/>
          <w:sz w:val="28"/>
        </w:rPr>
        <w:t>
      2) сделка по продаже акций (депозитарных расписок, базовым активом которых являются акции)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(Блумберг) или Reuters (Рейтер);</w:t>
      </w:r>
    </w:p>
    <w:bookmarkEnd w:id="47"/>
    <w:bookmarkStart w:name="z85" w:id="48"/>
    <w:p>
      <w:pPr>
        <w:spacing w:after="0"/>
        <w:ind w:left="0"/>
        <w:jc w:val="both"/>
      </w:pPr>
      <w:r>
        <w:rPr>
          <w:rFonts w:ascii="Times New Roman"/>
          <w:b w:val="false"/>
          <w:i w:val="false"/>
          <w:color w:val="000000"/>
          <w:sz w:val="28"/>
        </w:rPr>
        <w:t>
      3) по долговым ценным бумагам, за исключением principal protected notes (принципл протектед ноутс), а также по производным финансовым инструментам имеется распечатка котировок на покупку и (или) продажу с информационных аналитических систем Bloomberg (Блумберг) или Reuters (Рейтер), либо в случае отсутствия таких котировок имеется не менее трех котировок от трех различных контрпартнеров. При отсутствии от контрпартнера ценовых предложений по данному финансовому инструменту,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bookmarkEnd w:id="48"/>
    <w:bookmarkStart w:name="z86" w:id="49"/>
    <w:p>
      <w:pPr>
        <w:spacing w:after="0"/>
        <w:ind w:left="0"/>
        <w:jc w:val="both"/>
      </w:pPr>
      <w:r>
        <w:rPr>
          <w:rFonts w:ascii="Times New Roman"/>
          <w:b w:val="false"/>
          <w:i w:val="false"/>
          <w:color w:val="000000"/>
          <w:sz w:val="28"/>
        </w:rPr>
        <w:t>
      11. При приобретении за счет активов эндаумент-фонда (целевого капитала) principal protected notes (принципл протектед ноутс) расчеты осуществляются по принципу "поставка против платежа".</w:t>
      </w:r>
    </w:p>
    <w:bookmarkEnd w:id="49"/>
    <w:bookmarkStart w:name="z87" w:id="50"/>
    <w:p>
      <w:pPr>
        <w:spacing w:after="0"/>
        <w:ind w:left="0"/>
        <w:jc w:val="both"/>
      </w:pPr>
      <w:r>
        <w:rPr>
          <w:rFonts w:ascii="Times New Roman"/>
          <w:b w:val="false"/>
          <w:i w:val="false"/>
          <w:color w:val="000000"/>
          <w:sz w:val="28"/>
        </w:rPr>
        <w:t>
      12. Приобретение управляющей компанией (фидуциарием) имущества за счет активов эндаумент-фонда (целевого капитала) осуществляется путем оформления документов, устанавливающих право собственности эндаумент-фонда (целевого капитала) в отношении приобретаемого имущества.</w:t>
      </w:r>
    </w:p>
    <w:bookmarkEnd w:id="50"/>
    <w:bookmarkStart w:name="z88" w:id="51"/>
    <w:p>
      <w:pPr>
        <w:spacing w:after="0"/>
        <w:ind w:left="0"/>
        <w:jc w:val="both"/>
      </w:pPr>
      <w:r>
        <w:rPr>
          <w:rFonts w:ascii="Times New Roman"/>
          <w:b w:val="false"/>
          <w:i w:val="false"/>
          <w:color w:val="000000"/>
          <w:sz w:val="28"/>
        </w:rPr>
        <w:t>
      13. При возникновении обстоятельств, независящих от действий управляющей компании (фидуциария), повлекших несоответствие структуры активов эндаумент-фонда (целевого капитала) условиям, установленным Правилами и (или) инвестиционной декларацией, управляющая компания (фидуциарий) прекращает инвестиционную деятельность, связанную с таким несоответствием, и в течение трех рабочих дней сообщает в уполномоченный орган по регулированию, контролю и надзору финансового рынка и финансовых организаций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управляющей компании (фидуциария), ответственных за их исполнение, и сроков исполнения.</w:t>
      </w:r>
    </w:p>
    <w:bookmarkEnd w:id="51"/>
    <w:bookmarkStart w:name="z89" w:id="52"/>
    <w:p>
      <w:pPr>
        <w:spacing w:after="0"/>
        <w:ind w:left="0"/>
        <w:jc w:val="both"/>
      </w:pP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управляющая компания (фидуциарий) приступает к его реализации и представляет в уполномоченный орган отчеты о выполнении мероприятий не позднее пяти рабочих дней по истечению сроков исполнения мероприятий, установленных планом мероприятий. При получении замечаний уполномоченного органа к плану мероприятий управляющая компания (фидуциарий)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w:t>
            </w:r>
          </w:p>
        </w:tc>
      </w:tr>
    </w:tbl>
    <w:bookmarkStart w:name="z91" w:id="53"/>
    <w:p>
      <w:pPr>
        <w:spacing w:after="0"/>
        <w:ind w:left="0"/>
        <w:jc w:val="left"/>
      </w:pPr>
      <w:r>
        <w:rPr>
          <w:rFonts w:ascii="Times New Roman"/>
          <w:b/>
          <w:i w:val="false"/>
          <w:color w:val="000000"/>
        </w:rPr>
        <w:t xml:space="preserve"> Правила расчета и определения стоимости чистых активов и активов эндаумент-фонда (целевого капитала)</w:t>
      </w:r>
    </w:p>
    <w:bookmarkEnd w:id="53"/>
    <w:bookmarkStart w:name="z92" w:id="54"/>
    <w:p>
      <w:pPr>
        <w:spacing w:after="0"/>
        <w:ind w:left="0"/>
        <w:jc w:val="both"/>
      </w:pPr>
      <w:r>
        <w:rPr>
          <w:rFonts w:ascii="Times New Roman"/>
          <w:b w:val="false"/>
          <w:i w:val="false"/>
          <w:color w:val="000000"/>
          <w:sz w:val="28"/>
        </w:rPr>
        <w:t xml:space="preserve">
      Настоящие Правила расчета и определения стоимости чистых активов и активов эндаумент-фонда (целевого капитала)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9 и </w:t>
      </w:r>
      <w:r>
        <w:rPr>
          <w:rFonts w:ascii="Times New Roman"/>
          <w:b w:val="false"/>
          <w:i w:val="false"/>
          <w:color w:val="000000"/>
          <w:sz w:val="28"/>
        </w:rPr>
        <w:t>пунктом 1</w:t>
      </w:r>
      <w:r>
        <w:rPr>
          <w:rFonts w:ascii="Times New Roman"/>
          <w:b w:val="false"/>
          <w:i w:val="false"/>
          <w:color w:val="000000"/>
          <w:sz w:val="28"/>
        </w:rPr>
        <w:t xml:space="preserve"> статьи 28 Закона Республики Казахстан "О фондах целевого капитала и эндаумент-фондах (целевых капиталах)" и Законом Республики Казахстан "О бухгалтерском учете и финансовой отчетности" и определяют порядок расчета и определения стоимости активов и чистых активов эндаумент-фонда (целевого капитала).</w:t>
      </w:r>
    </w:p>
    <w:bookmarkEnd w:id="54"/>
    <w:bookmarkStart w:name="z93" w:id="55"/>
    <w:p>
      <w:pPr>
        <w:spacing w:after="0"/>
        <w:ind w:left="0"/>
        <w:jc w:val="left"/>
      </w:pPr>
      <w:r>
        <w:rPr>
          <w:rFonts w:ascii="Times New Roman"/>
          <w:b/>
          <w:i w:val="false"/>
          <w:color w:val="000000"/>
        </w:rPr>
        <w:t xml:space="preserve"> Глава 1. Определение стоимости активов и обязательств, связанных с управлением эндаумент-фондом (целевым капиталом)</w:t>
      </w:r>
    </w:p>
    <w:bookmarkEnd w:id="55"/>
    <w:bookmarkStart w:name="z94" w:id="56"/>
    <w:p>
      <w:pPr>
        <w:spacing w:after="0"/>
        <w:ind w:left="0"/>
        <w:jc w:val="both"/>
      </w:pPr>
      <w:r>
        <w:rPr>
          <w:rFonts w:ascii="Times New Roman"/>
          <w:b w:val="false"/>
          <w:i w:val="false"/>
          <w:color w:val="000000"/>
          <w:sz w:val="28"/>
        </w:rPr>
        <w:t>
      1. Стоимость активов эндаумент-фонда (целевого капитала) и обязательств, связанных с управлением эндаумент-фондом (целевым капиталом), определяется ежемесячно по состоянию на конец последнего рабочего дня каждого календарного месяца, а также:</w:t>
      </w:r>
    </w:p>
    <w:bookmarkEnd w:id="56"/>
    <w:bookmarkStart w:name="z95" w:id="57"/>
    <w:p>
      <w:pPr>
        <w:spacing w:after="0"/>
        <w:ind w:left="0"/>
        <w:jc w:val="both"/>
      </w:pPr>
      <w:r>
        <w:rPr>
          <w:rFonts w:ascii="Times New Roman"/>
          <w:b w:val="false"/>
          <w:i w:val="false"/>
          <w:color w:val="000000"/>
          <w:sz w:val="28"/>
        </w:rPr>
        <w:t xml:space="preserve">
      1) в случае прекращения существования эндаумент-фонда (целевого капитала) - на дату возникновения основания для прекращения его существования; </w:t>
      </w:r>
    </w:p>
    <w:bookmarkEnd w:id="57"/>
    <w:bookmarkStart w:name="z96" w:id="58"/>
    <w:p>
      <w:pPr>
        <w:spacing w:after="0"/>
        <w:ind w:left="0"/>
        <w:jc w:val="both"/>
      </w:pPr>
      <w:r>
        <w:rPr>
          <w:rFonts w:ascii="Times New Roman"/>
          <w:b w:val="false"/>
          <w:i w:val="false"/>
          <w:color w:val="000000"/>
          <w:sz w:val="28"/>
        </w:rPr>
        <w:t xml:space="preserve">
      2) в иных случаях в соответствии с внутренними документами фонда целевого капитала или управляющей компании (фидуциария) эндаумент-фондом (целевым капиталом). </w:t>
      </w:r>
    </w:p>
    <w:bookmarkEnd w:id="58"/>
    <w:bookmarkStart w:name="z97" w:id="59"/>
    <w:p>
      <w:pPr>
        <w:spacing w:after="0"/>
        <w:ind w:left="0"/>
        <w:jc w:val="both"/>
      </w:pPr>
      <w:r>
        <w:rPr>
          <w:rFonts w:ascii="Times New Roman"/>
          <w:b w:val="false"/>
          <w:i w:val="false"/>
          <w:color w:val="000000"/>
          <w:sz w:val="28"/>
        </w:rPr>
        <w:t>
      2. Стоимость активов эндаумент-фонда (целевого капитала) и обязательств, связанных с управлением эндаумент-фондом (целевым капиталом), по состоянию на конец последнего рабочего дня каждого месяца определяется после начисления расходов и выплаты вознаграждения управляющей компании (фидуциария) и иным лицам, обеспечивающим функционирование эндаумент-фонда (целевого капитала).</w:t>
      </w:r>
    </w:p>
    <w:bookmarkEnd w:id="59"/>
    <w:bookmarkStart w:name="z98" w:id="60"/>
    <w:p>
      <w:pPr>
        <w:spacing w:after="0"/>
        <w:ind w:left="0"/>
        <w:jc w:val="both"/>
      </w:pPr>
      <w:r>
        <w:rPr>
          <w:rFonts w:ascii="Times New Roman"/>
          <w:b w:val="false"/>
          <w:i w:val="false"/>
          <w:color w:val="000000"/>
          <w:sz w:val="28"/>
        </w:rPr>
        <w:t>
      3. Признание финансового инструмента в составе активов эндаумент-фонда (целевого капитала), а также списание финансового инструмента осуществляется на дату регистрации сделки в системе учета кастодиана или центрального депозитария.</w:t>
      </w:r>
    </w:p>
    <w:bookmarkEnd w:id="60"/>
    <w:bookmarkStart w:name="z99" w:id="61"/>
    <w:p>
      <w:pPr>
        <w:spacing w:after="0"/>
        <w:ind w:left="0"/>
        <w:jc w:val="both"/>
      </w:pPr>
      <w:r>
        <w:rPr>
          <w:rFonts w:ascii="Times New Roman"/>
          <w:b w:val="false"/>
          <w:i w:val="false"/>
          <w:color w:val="000000"/>
          <w:sz w:val="28"/>
        </w:rPr>
        <w:t>
      4. Финансовый инструмент, составляющий активы эндаумент-фонда (целевого капитала) и входящий в список фондовой биржи, оценивается по рыночной или индикативной цене в соответствии с внутренним документом фондовой биржи, устанавливающим методику оценки ценных бумаг фондовой биржи, либо по данным информационно-аналитических систем Bloomberg (Блумберг) или Reuters (Рейтер).</w:t>
      </w:r>
    </w:p>
    <w:bookmarkEnd w:id="61"/>
    <w:bookmarkStart w:name="z100" w:id="62"/>
    <w:p>
      <w:pPr>
        <w:spacing w:after="0"/>
        <w:ind w:left="0"/>
        <w:jc w:val="both"/>
      </w:pPr>
      <w:r>
        <w:rPr>
          <w:rFonts w:ascii="Times New Roman"/>
          <w:b w:val="false"/>
          <w:i w:val="false"/>
          <w:color w:val="000000"/>
          <w:sz w:val="28"/>
        </w:rPr>
        <w:t>
      Финансовые инструменты, выпущенные в соответствии с законодательством иностранных государств, оцениваются на конец рабочего дня по цене закрытия торгового дня, за который производится оценка, по данным информационно-аналитических систем Bloomberg (Блумберг) или Reuters (Рейтер).</w:t>
      </w:r>
    </w:p>
    <w:bookmarkEnd w:id="62"/>
    <w:bookmarkStart w:name="z101" w:id="63"/>
    <w:p>
      <w:pPr>
        <w:spacing w:after="0"/>
        <w:ind w:left="0"/>
        <w:jc w:val="both"/>
      </w:pP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Правилами, определяется посредством учета по амортизированной стоимости еженедельно на конец первого рабочего дня текущей недели.</w:t>
      </w:r>
    </w:p>
    <w:bookmarkEnd w:id="63"/>
    <w:bookmarkStart w:name="z102" w:id="64"/>
    <w:p>
      <w:pPr>
        <w:spacing w:after="0"/>
        <w:ind w:left="0"/>
        <w:jc w:val="both"/>
      </w:pPr>
      <w:r>
        <w:rPr>
          <w:rFonts w:ascii="Times New Roman"/>
          <w:b w:val="false"/>
          <w:i w:val="false"/>
          <w:color w:val="000000"/>
          <w:sz w:val="28"/>
        </w:rPr>
        <w:t>
      5. Стоимость неликвидных акций определяется по балансовой стоимости. При этом акция признается неликвидной, если на дату переоценки активов эндаумент-фонда (целевого капитала), данная ценная бумага не входила в список ценных бумаг первого класса ликвидности, определенный в соответствии с внутренним документом фондовой биржи, устанавливающим методику определения показателей ликвидности ценных бумаг фондовой биржи.</w:t>
      </w:r>
    </w:p>
    <w:bookmarkEnd w:id="64"/>
    <w:bookmarkStart w:name="z103" w:id="65"/>
    <w:p>
      <w:pPr>
        <w:spacing w:after="0"/>
        <w:ind w:left="0"/>
        <w:jc w:val="both"/>
      </w:pPr>
      <w:r>
        <w:rPr>
          <w:rFonts w:ascii="Times New Roman"/>
          <w:b w:val="false"/>
          <w:i w:val="false"/>
          <w:color w:val="000000"/>
          <w:sz w:val="28"/>
        </w:rPr>
        <w:t xml:space="preserve">
      Для целей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 соответственно, определяемые на основании финансовой отчетности эмитента, публикуемой в соответствии с требованиями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(зарегистрировано в Реестре государственной регистрации нормативных правовых актов под № 17579).</w:t>
      </w:r>
    </w:p>
    <w:bookmarkEnd w:id="65"/>
    <w:bookmarkStart w:name="z104" w:id="66"/>
    <w:p>
      <w:pPr>
        <w:spacing w:after="0"/>
        <w:ind w:left="0"/>
        <w:jc w:val="both"/>
      </w:pPr>
      <w:r>
        <w:rPr>
          <w:rFonts w:ascii="Times New Roman"/>
          <w:b w:val="false"/>
          <w:i w:val="false"/>
          <w:color w:val="000000"/>
          <w:sz w:val="28"/>
        </w:rPr>
        <w:t>
      Паи, которые были исключены из списка фондовой биржи по причинам, не связанным с ухудшением финансового состояния эмитента, оцениваются по стоимости чистых активов.</w:t>
      </w:r>
    </w:p>
    <w:bookmarkEnd w:id="66"/>
    <w:bookmarkStart w:name="z105" w:id="67"/>
    <w:p>
      <w:pPr>
        <w:spacing w:after="0"/>
        <w:ind w:left="0"/>
        <w:jc w:val="both"/>
      </w:pPr>
      <w:r>
        <w:rPr>
          <w:rFonts w:ascii="Times New Roman"/>
          <w:b w:val="false"/>
          <w:i w:val="false"/>
          <w:color w:val="000000"/>
          <w:sz w:val="28"/>
        </w:rPr>
        <w:t>
      6. Рыночная стоимость иного, кроме финансовых инструментов, имущества, входящего в состав эндаумент-фондов (целевых капиталов), определяется в соответствии с законодательством Республики Казахстан об оценочной деятельности.</w:t>
      </w:r>
    </w:p>
    <w:bookmarkEnd w:id="67"/>
    <w:bookmarkStart w:name="z106" w:id="68"/>
    <w:p>
      <w:pPr>
        <w:spacing w:after="0"/>
        <w:ind w:left="0"/>
        <w:jc w:val="both"/>
      </w:pPr>
      <w:r>
        <w:rPr>
          <w:rFonts w:ascii="Times New Roman"/>
          <w:b w:val="false"/>
          <w:i w:val="false"/>
          <w:color w:val="000000"/>
          <w:sz w:val="28"/>
        </w:rPr>
        <w:t xml:space="preserve">
      В случае если активы эндаумент-фонда (целевого капитала) находятся за пределами Республики Казахстан, то их стоимость может определяться оценщиками, обладающими соответствующей лицензией (разрешением) на осуществление оценки имущества в соответствии с законодательством государств, на территории которых находятся активы эндаумент-фонда (целевого капитала). </w:t>
      </w:r>
    </w:p>
    <w:bookmarkEnd w:id="68"/>
    <w:bookmarkStart w:name="z107" w:id="69"/>
    <w:p>
      <w:pPr>
        <w:spacing w:after="0"/>
        <w:ind w:left="0"/>
        <w:jc w:val="both"/>
      </w:pPr>
      <w:r>
        <w:rPr>
          <w:rFonts w:ascii="Times New Roman"/>
          <w:b w:val="false"/>
          <w:i w:val="false"/>
          <w:color w:val="000000"/>
          <w:sz w:val="28"/>
        </w:rPr>
        <w:t>
      7. Активы эндаумент-фонда (целевого капитала), оцениваемые оценщиком, подлежат оценке при их приобретении и отчуждении, но не реже одного раза в год.</w:t>
      </w:r>
    </w:p>
    <w:bookmarkEnd w:id="69"/>
    <w:bookmarkStart w:name="z108" w:id="70"/>
    <w:p>
      <w:pPr>
        <w:spacing w:after="0"/>
        <w:ind w:left="0"/>
        <w:jc w:val="both"/>
      </w:pPr>
      <w:r>
        <w:rPr>
          <w:rFonts w:ascii="Times New Roman"/>
          <w:b w:val="false"/>
          <w:i w:val="false"/>
          <w:color w:val="000000"/>
          <w:sz w:val="28"/>
        </w:rPr>
        <w:t xml:space="preserve">
      8. Оценка активов эндаумент-фонда (целевого капитала) и обязательств, связанных с управлением эндаумент-фондом (целевым капиталом), стоимость которых выражена в иностранной валюте, осуществляется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определения стоимости активов эндаумент-фонда (целевого капитала).</w:t>
      </w:r>
    </w:p>
    <w:bookmarkEnd w:id="70"/>
    <w:bookmarkStart w:name="z109" w:id="71"/>
    <w:p>
      <w:pPr>
        <w:spacing w:after="0"/>
        <w:ind w:left="0"/>
        <w:jc w:val="both"/>
      </w:pPr>
      <w:r>
        <w:rPr>
          <w:rFonts w:ascii="Times New Roman"/>
          <w:b w:val="false"/>
          <w:i w:val="false"/>
          <w:color w:val="000000"/>
          <w:sz w:val="28"/>
        </w:rPr>
        <w:t>
      9. Операции РЕПО и обратное РЕПО, размещенные вклады оцениваются по амортизированной стоимости.</w:t>
      </w:r>
    </w:p>
    <w:bookmarkEnd w:id="71"/>
    <w:bookmarkStart w:name="z110" w:id="72"/>
    <w:p>
      <w:pPr>
        <w:spacing w:after="0"/>
        <w:ind w:left="0"/>
        <w:jc w:val="both"/>
      </w:pPr>
      <w:r>
        <w:rPr>
          <w:rFonts w:ascii="Times New Roman"/>
          <w:b w:val="false"/>
          <w:i w:val="false"/>
          <w:color w:val="000000"/>
          <w:sz w:val="28"/>
        </w:rPr>
        <w:t>
      Процентные доходы и расходы по финансовым инструментам, предусмотренным настоящим пунктом, рассчитываются с использованием метода эффективной процентной ставки, применяемого в соответствии с положениями Международного стандарта финансовой отчетности (IFRS) 9 "Финансовые инструменты.</w:t>
      </w:r>
    </w:p>
    <w:bookmarkEnd w:id="72"/>
    <w:bookmarkStart w:name="z111" w:id="73"/>
    <w:p>
      <w:pPr>
        <w:spacing w:after="0"/>
        <w:ind w:left="0"/>
        <w:jc w:val="both"/>
      </w:pPr>
      <w:r>
        <w:rPr>
          <w:rFonts w:ascii="Times New Roman"/>
          <w:b w:val="false"/>
          <w:i w:val="false"/>
          <w:color w:val="000000"/>
          <w:sz w:val="28"/>
        </w:rPr>
        <w:t>
      10. К обязательствам, связанным с управлением эндаумент-фондом (целевым капиталом) относятся расходы по управлению и (или) учету активов эндаумент-фонда (целевого капитала).</w:t>
      </w:r>
    </w:p>
    <w:bookmarkEnd w:id="73"/>
    <w:bookmarkStart w:name="z112" w:id="74"/>
    <w:p>
      <w:pPr>
        <w:spacing w:after="0"/>
        <w:ind w:left="0"/>
        <w:jc w:val="left"/>
      </w:pPr>
      <w:r>
        <w:rPr>
          <w:rFonts w:ascii="Times New Roman"/>
          <w:b/>
          <w:i w:val="false"/>
          <w:color w:val="000000"/>
        </w:rPr>
        <w:t xml:space="preserve"> Глава 2. Определение стоимости чистых активов эндаумент- фонда (целевого капитала)</w:t>
      </w:r>
    </w:p>
    <w:bookmarkEnd w:id="74"/>
    <w:bookmarkStart w:name="z113" w:id="75"/>
    <w:p>
      <w:pPr>
        <w:spacing w:after="0"/>
        <w:ind w:left="0"/>
        <w:jc w:val="both"/>
      </w:pPr>
      <w:r>
        <w:rPr>
          <w:rFonts w:ascii="Times New Roman"/>
          <w:b w:val="false"/>
          <w:i w:val="false"/>
          <w:color w:val="000000"/>
          <w:sz w:val="28"/>
        </w:rPr>
        <w:t>
      11. Стоимость чистых активов эндаумент-фонда (целевого капитала) определяется как разница между стоимостью его активов и обязательств, связанных с управлением эндаумент-фондом (целевым капиталом).</w:t>
      </w:r>
    </w:p>
    <w:bookmarkEnd w:id="75"/>
    <w:bookmarkStart w:name="z114" w:id="76"/>
    <w:p>
      <w:pPr>
        <w:spacing w:after="0"/>
        <w:ind w:left="0"/>
        <w:jc w:val="both"/>
      </w:pPr>
      <w:r>
        <w:rPr>
          <w:rFonts w:ascii="Times New Roman"/>
          <w:b w:val="false"/>
          <w:i w:val="false"/>
          <w:color w:val="000000"/>
          <w:sz w:val="28"/>
        </w:rPr>
        <w:t xml:space="preserve">
      При расчете стоимости чистых активов эндаумент-фонда (целевого капитала) в расчет не принимаются активы и часть не распределенного дохода, не находящиеся на учете и хранении у кастодиана фонда целевого капитала, предназначенные для обеспечения деятельности фонда целевого капитала.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