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4c68" w14:textId="2064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предъявляемые к управляющему многоквартирным жилым домом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августа 2025 года № 312. Зарегистрирован в Министерстве юстиции Республики Казахстан 28 августа 2025 года № 36721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Квалификационные требования, предъявляемые к управляющему многоквартирным жилым домом,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312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управляющему многоквартирным жилым домом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предъявляются к управляющему многоквартирным жилым домом, и включает в себя следующие требования: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среднее профессиональное, высшее или послевузовское образование по специальностям: право, социальные науки, экономика и бизнес, гуманитарные науки, технические науки и технологии;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действующего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 и акты государственных органов, регламентирующие производственно-хозяйственную, финансово-экономическую и жилищно-коммунальную деятельность);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навыки оперативного принятия и реализации управленческих решений, планирования работы и контроля, ведения деловых переговоров, публичных выступлений, анализа и прогнозирования последствий принимаемых управленческих решений, организации работы по взаимодействию с государственными органами и поставщиками коммунальных услуг, практического применения нормативных правовых актов, разработки организационно-распорядительных документов, работы со служебными документами, владения компьютерной и другой организационной техникой, а также отвечать требованиям профессионального стандарта "Управление жилыми и нежилыми зданиями";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отсутствии неснятой или непогашенной судимости за преступления против собственности, в сфере экономики или по коррупционным статьям;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документа о признании его профессиональной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169 "Об утверждении Квалификационных требований, предъявляемые к управляющему многоквартирным жилым домом" (зарегистрирован в Реестре государственной регистрации нормативных правовых актов № 20315).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вносятся изменения и дополнения, утвержденного приказом Министра промышленности и строительства Республики Казахстан от 19 января 2024 года № 24 "Об утверждении перечня некоторых приказов Министерства индустрии и инфраструктурного развития Республики Казахстан, в которые вносятся изменения и дополнения" (зарегистрирован в Реестре государственной регистрации нормативных правовых актов № 33983).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11 июня 2024 года № 218 "О внесении изменения в приказ исполняющего обязанности Министра индустрии и инфраструктурного развития Республики Казахстан от 30 марта 2020 года № 169 "Об утверждении Квалификационных требований, предъявляемые к управляющему многоквартирным жилым домом" (зарегистрирован в Реестре государственной регистрации нормативных правовых актов № 34518).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