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a917" w14:textId="f3da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промышленности и строительства Республики Казахстан от 24 мая 2024 года № 190 "Об утверждении Правил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7 августа 2025 года № 294. Зарегистрирован в Министерстве юстиции Республики Казахстан 21 августа 2025 года № 36655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24 мая 2024 года № 190 "Об утверждении Правил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Казахстан" (зарегистрирован в Реестре государственной регистрации нормативных правовых актов № 34409)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10-37)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ставка купонного вознаграждения по облигации, ставка вознаграждения к погашению по облигациям при доразмещении ранее выпущенных облигаций – не превышает уровня величины базовой ставки, установленной Национальным Банком Республики Казахстан.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ставка купонного вознаграждения по облигации, ставка вознаграждения к погашению по облигациям при доразмещении ранее выпущенных облигаций может быть увеличена до + 1,5% годовых на дату размещения или на дату доразмещения ранее выпущенных субсидируемых облигаций по согласованию уполномоченного органа.";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Субсидирование осуществляется по облигациям, выпускаемым в течение 8 (восьми) последовательных лет, включая облигации, выпущенные в рамках рефинансирования ранее выпущенных облигаций на срок менее 8 лет.".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Эмитент ежеквартально представляет в уполномоченный орган в рамках заключенных договоров отчет о фактическом использовании субсидий по форме, согласно приложению 4 к настоящим Правилам.".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купонного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облигациям, выпущенным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эмитентом для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ипотечных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в целях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http://www.mps.gov.kz.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Предложение на субсидирование.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основе: ФИСКВ-1.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эмитент.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в срок не позднее 20 (двадцатого) числа месяца, следующего за отчетным.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6548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на субсидирование</w:t>
      </w:r>
    </w:p>
    <w:bookmarkEnd w:id="29"/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Эмитент: ___________________________________________________________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эмитенте: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эмитенте: БИН*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облигационных займах, подлежащих субсидированию: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облигаций (ISIN (НИН)**)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облигационного займа,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Купонное вознаграждение,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обращения облигаций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деятельность эмитента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купонное вознаграждение по облигационному займу, указанному в предложении, не субсидируется по другим государственным и (или) бюджетным программам.</w:t>
      </w:r>
    </w:p>
    <w:bookmarkEnd w:id="35"/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проспекта выпуска облигаций на _____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государственной регистрации выпуска облигаций на ______ листах;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выписки из системы реестров держателей ценных бумаг на 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 эмитента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лица,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"___"_______ 20 __ года.</w:t>
      </w:r>
    </w:p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ISIN (НИН) – международный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(национальный идентификационный номер).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"Предложение на субсидирование"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"Предложение на субсидирование"</w:t>
      </w:r>
      <w:r>
        <w:br/>
      </w:r>
      <w:r>
        <w:rPr>
          <w:rFonts w:ascii="Times New Roman"/>
          <w:b/>
          <w:i w:val="false"/>
          <w:color w:val="000000"/>
        </w:rPr>
        <w:t>(индекс: ФИСКВ-1 и периодичность формы: ежеквартально)</w:t>
      </w:r>
    </w:p>
    <w:bookmarkEnd w:id="38"/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"Предложение на субсидирование" (далее – Форма).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эмитентом.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эмитентом в Министерство промышленности и строительства Республики Казахстан.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Предложения указывается наименование эмитента, какому государственному органу оно направлено, а также сведения об эмитенте.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1 указывается порядковый номер строки; 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проспект облигаций (международный идентификационный номер (национальный идентификационный номер));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сумма облигационного займа;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купонное вознаграждения;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окончания срока обращения облигаций.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купонного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облигациям,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выпущенным эмитентом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дальнейшей выдачи ипотечных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займов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жилищных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http://www.mps.gov.kz. 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фактическом использовании субсидий.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ФИСКВ-2.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эмитент.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в срок не позднее 20 (двадцатого) числа месяца, следующего за отчетным.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6548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облигаций (международный идентификационный номер (национальный идентификационный номер))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облигационного займа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 на весь срок обращения облигаций,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(факт),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субсидий, находящийся на банковском счете,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63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фактическом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субсидий"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фактическом использовании субсидий"</w:t>
      </w:r>
      <w:r>
        <w:br/>
      </w:r>
      <w:r>
        <w:rPr>
          <w:rFonts w:ascii="Times New Roman"/>
          <w:b/>
          <w:i w:val="false"/>
          <w:color w:val="000000"/>
        </w:rPr>
        <w:t>(индекс: ФИСКВ-2 и периодичность формы: ежеквартально)</w:t>
      </w:r>
    </w:p>
    <w:bookmarkEnd w:id="64"/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фактическом использовании субсидий" (далее – Форма).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эмитентом.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руководителем, либо лицом, исполняющим его обязанности.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эмитентом в Министерство промышленности и строительства Республики Казахстан ежеквартально, в срок не позднее 20 (двадцатого) числа месяца, следующего за отчетным.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указывается наименование эмитента.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бизнес-идентификационный номер.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проспект облигаций (международный идентификационный номер (национальный идентификационный номер)).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облигационного займа.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субсидий на весь срок обращения облигаций, за весь период и за отчетный период, в тенге.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6 и 7 указываются перечисленные субсидий за весь период и отчетный период, в тенге.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отклонение (переплата, недостаток) за весь период и за отчетный период, в тенге.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возврат неиспользованных субсидий (факт), в тенге.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остаток субсидий, находящийся на банковском счете, в тенге.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