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4d95" w14:textId="b2d4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12 августа 2025 года № 297. Зарегистрирован в Министерстве юстиции Республики Казахстан 12 августа 2025 года № 36606.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10-42)</w:t>
      </w:r>
      <w:r>
        <w:rPr>
          <w:rFonts w:ascii="Times New Roman"/>
          <w:b w:val="false"/>
          <w:i w:val="false"/>
          <w:color w:val="000000"/>
          <w:sz w:val="28"/>
        </w:rPr>
        <w:t xml:space="preserve"> статьи 10-2 Закона Республики Казахстан "О жилищных отношениях"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297</w:t>
            </w:r>
          </w:p>
        </w:tc>
      </w:tr>
    </w:tbl>
    <w:bookmarkStart w:name="z16" w:id="10"/>
    <w:p>
      <w:pPr>
        <w:spacing w:after="0"/>
        <w:ind w:left="0"/>
        <w:jc w:val="left"/>
      </w:pPr>
      <w:r>
        <w:rPr>
          <w:rFonts w:ascii="Times New Roman"/>
          <w:b/>
          <w:i w:val="false"/>
          <w:color w:val="000000"/>
        </w:rPr>
        <w:t xml:space="preserve"> Правила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 (далее – Правила) разработаны в соответствии с </w:t>
      </w:r>
      <w:r>
        <w:rPr>
          <w:rFonts w:ascii="Times New Roman"/>
          <w:b w:val="false"/>
          <w:i w:val="false"/>
          <w:color w:val="000000"/>
          <w:sz w:val="28"/>
        </w:rPr>
        <w:t>подпунктом 10-42)</w:t>
      </w:r>
      <w:r>
        <w:rPr>
          <w:rFonts w:ascii="Times New Roman"/>
          <w:b w:val="false"/>
          <w:i w:val="false"/>
          <w:color w:val="000000"/>
          <w:sz w:val="28"/>
        </w:rPr>
        <w:t xml:space="preserve"> статьи 10-2 Закона Республики Казахстан "О жилищных отношениях" и определяют порядок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12"/>
    <w:bookmarkStart w:name="z19" w:id="13"/>
    <w:p>
      <w:pPr>
        <w:spacing w:after="0"/>
        <w:ind w:left="0"/>
        <w:jc w:val="both"/>
      </w:pPr>
      <w:r>
        <w:rPr>
          <w:rFonts w:ascii="Times New Roman"/>
          <w:b w:val="false"/>
          <w:i w:val="false"/>
          <w:color w:val="000000"/>
          <w:sz w:val="28"/>
        </w:rPr>
        <w:t>
      2. Финансирование деятельности технического оператора в рамках реализации Правил осуществляется за счет средств республиканского бюджета посредством размещения государственного задания в соответствии с бюджетным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3. В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xml:space="preserve">
      1) расчетная стоимость строительства "под ключ" – стоимость строительства объектов, определяемая на предпроектной стадии для проведения конкурсных процедур и заключения договоров о строительстве "под ключ"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w:t>
      </w:r>
    </w:p>
    <w:bookmarkEnd w:id="15"/>
    <w:bookmarkStart w:name="z22" w:id="16"/>
    <w:p>
      <w:pPr>
        <w:spacing w:after="0"/>
        <w:ind w:left="0"/>
        <w:jc w:val="both"/>
      </w:pPr>
      <w:r>
        <w:rPr>
          <w:rFonts w:ascii="Times New Roman"/>
          <w:b w:val="false"/>
          <w:i w:val="false"/>
          <w:color w:val="000000"/>
          <w:sz w:val="28"/>
        </w:rPr>
        <w:t>
      2) электронная платформа закупок национального проекта по модернизации энергетического и коммунального секторов (далее – электронная платформа) – информационная система, обеспечивающая проведение электронных закупок в рамках реализации национального проекта по модернизации энергетического и коммунального секторов, предоставляющая электронные услуги по обеспечению точки доступа для приобретения товаров, работ и услуг, заключения договора о строительстве "под ключ", а также отбора и мониторинга проектов в рамках реализации национального проекта по модернизации энергетического и коммунального секторов;</w:t>
      </w:r>
    </w:p>
    <w:bookmarkEnd w:id="16"/>
    <w:bookmarkStart w:name="z23" w:id="17"/>
    <w:p>
      <w:pPr>
        <w:spacing w:after="0"/>
        <w:ind w:left="0"/>
        <w:jc w:val="both"/>
      </w:pPr>
      <w:r>
        <w:rPr>
          <w:rFonts w:ascii="Times New Roman"/>
          <w:b w:val="false"/>
          <w:i w:val="false"/>
          <w:color w:val="000000"/>
          <w:sz w:val="28"/>
        </w:rPr>
        <w:t>
      3) заявка – предварительная заявка субъекта естественной монополий и местных исполнительных органов по проектам, участвующим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7"/>
    <w:bookmarkStart w:name="z24" w:id="18"/>
    <w:p>
      <w:pPr>
        <w:spacing w:after="0"/>
        <w:ind w:left="0"/>
        <w:jc w:val="both"/>
      </w:pPr>
      <w:r>
        <w:rPr>
          <w:rFonts w:ascii="Times New Roman"/>
          <w:b w:val="false"/>
          <w:i w:val="false"/>
          <w:color w:val="000000"/>
          <w:sz w:val="28"/>
        </w:rPr>
        <w:t>
      4) проект – проект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8"/>
    <w:bookmarkStart w:name="z25" w:id="19"/>
    <w:p>
      <w:pPr>
        <w:spacing w:after="0"/>
        <w:ind w:left="0"/>
        <w:jc w:val="both"/>
      </w:pPr>
      <w:r>
        <w:rPr>
          <w:rFonts w:ascii="Times New Roman"/>
          <w:b w:val="false"/>
          <w:i w:val="false"/>
          <w:color w:val="000000"/>
          <w:sz w:val="28"/>
        </w:rPr>
        <w:t>
      5) технический оператор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19"/>
    <w:bookmarkStart w:name="z26" w:id="20"/>
    <w:p>
      <w:pPr>
        <w:spacing w:after="0"/>
        <w:ind w:left="0"/>
        <w:jc w:val="both"/>
      </w:pPr>
      <w:r>
        <w:rPr>
          <w:rFonts w:ascii="Times New Roman"/>
          <w:b w:val="false"/>
          <w:i w:val="false"/>
          <w:color w:val="000000"/>
          <w:sz w:val="28"/>
        </w:rPr>
        <w:t>
      6) финансовый оператор – акционерное общество "Национальный управляющий холдинг "Байтерек";</w:t>
      </w:r>
    </w:p>
    <w:bookmarkEnd w:id="20"/>
    <w:bookmarkStart w:name="z27" w:id="21"/>
    <w:p>
      <w:pPr>
        <w:spacing w:after="0"/>
        <w:ind w:left="0"/>
        <w:jc w:val="both"/>
      </w:pPr>
      <w:r>
        <w:rPr>
          <w:rFonts w:ascii="Times New Roman"/>
          <w:b w:val="false"/>
          <w:i w:val="false"/>
          <w:color w:val="000000"/>
          <w:sz w:val="28"/>
        </w:rPr>
        <w:t>
      7) тарифный регулятор - уполномоченный орган в сфере регулирования естественных монополий;</w:t>
      </w:r>
    </w:p>
    <w:bookmarkEnd w:id="21"/>
    <w:bookmarkStart w:name="z28" w:id="22"/>
    <w:p>
      <w:pPr>
        <w:spacing w:after="0"/>
        <w:ind w:left="0"/>
        <w:jc w:val="both"/>
      </w:pPr>
      <w:r>
        <w:rPr>
          <w:rFonts w:ascii="Times New Roman"/>
          <w:b w:val="false"/>
          <w:i w:val="false"/>
          <w:color w:val="000000"/>
          <w:sz w:val="28"/>
        </w:rPr>
        <w:t>
      8) Национальный проект - национальный проект по модернизации энергетического и коммунального секторов;</w:t>
      </w:r>
    </w:p>
    <w:bookmarkEnd w:id="22"/>
    <w:bookmarkStart w:name="z29" w:id="23"/>
    <w:p>
      <w:pPr>
        <w:spacing w:after="0"/>
        <w:ind w:left="0"/>
        <w:jc w:val="both"/>
      </w:pPr>
      <w:r>
        <w:rPr>
          <w:rFonts w:ascii="Times New Roman"/>
          <w:b w:val="false"/>
          <w:i w:val="false"/>
          <w:color w:val="000000"/>
          <w:sz w:val="28"/>
        </w:rPr>
        <w:t>
      9) таблица предлагаемых уровней тарифов - таблица предлагаемых уровней тарифов по годам на весь период исполнения обязательств субъектом естественной монополии по возврату полученных средств в рамках определенного финансовым оператором механизма финансирования</w:t>
      </w:r>
    </w:p>
    <w:bookmarkEnd w:id="23"/>
    <w:bookmarkStart w:name="z30" w:id="24"/>
    <w:p>
      <w:pPr>
        <w:spacing w:after="0"/>
        <w:ind w:left="0"/>
        <w:jc w:val="both"/>
      </w:pPr>
      <w:r>
        <w:rPr>
          <w:rFonts w:ascii="Times New Roman"/>
          <w:b w:val="false"/>
          <w:i w:val="false"/>
          <w:color w:val="000000"/>
          <w:sz w:val="28"/>
        </w:rPr>
        <w:t>
      10) финансовые институты - юридические лица, организации, осуществляющие отдельные виды банковских операций.</w:t>
      </w:r>
    </w:p>
    <w:bookmarkEnd w:id="24"/>
    <w:bookmarkStart w:name="z31" w:id="25"/>
    <w:p>
      <w:pPr>
        <w:spacing w:after="0"/>
        <w:ind w:left="0"/>
        <w:jc w:val="left"/>
      </w:pPr>
      <w:r>
        <w:rPr>
          <w:rFonts w:ascii="Times New Roman"/>
          <w:b/>
          <w:i w:val="false"/>
          <w:color w:val="000000"/>
        </w:rPr>
        <w:t xml:space="preserve"> Глава 2. Порядок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25"/>
    <w:bookmarkStart w:name="z32" w:id="26"/>
    <w:p>
      <w:pPr>
        <w:spacing w:after="0"/>
        <w:ind w:left="0"/>
        <w:jc w:val="left"/>
      </w:pPr>
      <w:r>
        <w:rPr>
          <w:rFonts w:ascii="Times New Roman"/>
          <w:b/>
          <w:i w:val="false"/>
          <w:color w:val="000000"/>
        </w:rPr>
        <w:t xml:space="preserve"> Параграф 1. Планирование проектов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26"/>
    <w:bookmarkStart w:name="z33" w:id="27"/>
    <w:p>
      <w:pPr>
        <w:spacing w:after="0"/>
        <w:ind w:left="0"/>
        <w:jc w:val="both"/>
      </w:pPr>
      <w:r>
        <w:rPr>
          <w:rFonts w:ascii="Times New Roman"/>
          <w:b w:val="false"/>
          <w:i w:val="false"/>
          <w:color w:val="000000"/>
          <w:sz w:val="28"/>
        </w:rPr>
        <w:t xml:space="preserve">
      4. Для участия в Национальном проекте субъект естественной монополии посредством электронной платформы подает заявку по проекту с приложением необходимых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7"/>
    <w:bookmarkStart w:name="z34" w:id="28"/>
    <w:p>
      <w:pPr>
        <w:spacing w:after="0"/>
        <w:ind w:left="0"/>
        <w:jc w:val="both"/>
      </w:pPr>
      <w:r>
        <w:rPr>
          <w:rFonts w:ascii="Times New Roman"/>
          <w:b w:val="false"/>
          <w:i w:val="false"/>
          <w:color w:val="000000"/>
          <w:sz w:val="28"/>
        </w:rPr>
        <w:t>
      5. В случае, если на момент подачи заявки электронная платформа не введена в эксплуатацию либо временно не функционирует, подача заявки осуществляется посредством действующей системы электронного документооборота технического оператора.</w:t>
      </w:r>
    </w:p>
    <w:bookmarkEnd w:id="28"/>
    <w:bookmarkStart w:name="z35" w:id="29"/>
    <w:p>
      <w:pPr>
        <w:spacing w:after="0"/>
        <w:ind w:left="0"/>
        <w:jc w:val="both"/>
      </w:pPr>
      <w:r>
        <w:rPr>
          <w:rFonts w:ascii="Times New Roman"/>
          <w:b w:val="false"/>
          <w:i w:val="false"/>
          <w:color w:val="000000"/>
          <w:sz w:val="28"/>
        </w:rPr>
        <w:t>
      6. Заявка подписывается вместе с заданием на проектирование первым руководителем субъекта естественной монополии и акимом соответствующей области, города республиканского значения или столицы, или его заместителем, курирующим вопросы коммунальной и энергетической инфраструктуры.</w:t>
      </w:r>
    </w:p>
    <w:bookmarkEnd w:id="29"/>
    <w:bookmarkStart w:name="z36" w:id="30"/>
    <w:p>
      <w:pPr>
        <w:spacing w:after="0"/>
        <w:ind w:left="0"/>
        <w:jc w:val="both"/>
      </w:pPr>
      <w:r>
        <w:rPr>
          <w:rFonts w:ascii="Times New Roman"/>
          <w:b w:val="false"/>
          <w:i w:val="false"/>
          <w:color w:val="000000"/>
          <w:sz w:val="28"/>
        </w:rPr>
        <w:t>
      7. Заявки по проектам, планируемым к реализации в 2026 году, подаются не позднее 1 сентября 2026 года.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06.02.2026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8. К заявке прилагаются документы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том числе:</w:t>
      </w:r>
    </w:p>
    <w:bookmarkEnd w:id="31"/>
    <w:bookmarkStart w:name="z39" w:id="32"/>
    <w:p>
      <w:pPr>
        <w:spacing w:after="0"/>
        <w:ind w:left="0"/>
        <w:jc w:val="both"/>
      </w:pPr>
      <w:r>
        <w:rPr>
          <w:rFonts w:ascii="Times New Roman"/>
          <w:b w:val="false"/>
          <w:i w:val="false"/>
          <w:color w:val="000000"/>
          <w:sz w:val="28"/>
        </w:rPr>
        <w:t>
      1) задание на проектирование, разработанное субъектом естественной монополии в соответствии с СН РК 1.02-03-2022 "Порядок разработки, согласования, утверждения и состав проектно-сметной документации на строительство" и нормативно-техническими требованиями в части технико-технологических решений в сферах тепло-, электро-, водоснабжения и водоотведения, в том числе, требованиями в области архитектуры, градостроительства, строительства и производства работ на объектах;</w:t>
      </w:r>
    </w:p>
    <w:bookmarkEnd w:id="32"/>
    <w:bookmarkStart w:name="z40" w:id="33"/>
    <w:p>
      <w:pPr>
        <w:spacing w:after="0"/>
        <w:ind w:left="0"/>
        <w:jc w:val="both"/>
      </w:pPr>
      <w:r>
        <w:rPr>
          <w:rFonts w:ascii="Times New Roman"/>
          <w:b w:val="false"/>
          <w:i w:val="false"/>
          <w:color w:val="000000"/>
          <w:sz w:val="28"/>
        </w:rPr>
        <w:t xml:space="preserve">
      2) пояснительная записка к проекту согласно </w:t>
      </w:r>
      <w:r>
        <w:rPr>
          <w:rFonts w:ascii="Times New Roman"/>
          <w:b w:val="false"/>
          <w:i w:val="false"/>
          <w:color w:val="000000"/>
          <w:sz w:val="28"/>
        </w:rPr>
        <w:t>приложению 1</w:t>
      </w:r>
      <w:r>
        <w:rPr>
          <w:rFonts w:ascii="Times New Roman"/>
          <w:b w:val="false"/>
          <w:i w:val="false"/>
          <w:color w:val="000000"/>
          <w:sz w:val="28"/>
        </w:rPr>
        <w:t xml:space="preserve"> к форме заявки субъекта естественных монополии по проекту;</w:t>
      </w:r>
    </w:p>
    <w:bookmarkEnd w:id="33"/>
    <w:bookmarkStart w:name="z41" w:id="34"/>
    <w:p>
      <w:pPr>
        <w:spacing w:after="0"/>
        <w:ind w:left="0"/>
        <w:jc w:val="both"/>
      </w:pPr>
      <w:r>
        <w:rPr>
          <w:rFonts w:ascii="Times New Roman"/>
          <w:b w:val="false"/>
          <w:i w:val="false"/>
          <w:color w:val="000000"/>
          <w:sz w:val="28"/>
        </w:rPr>
        <w:t>
      3) расчетная стоимость строительства "под ключ", либо стоимость в соответствии с утвержденными проектно-сметной документацией или технико-экономическим обоснованием, не являющимися устаревшими на момент подачи заявки;</w:t>
      </w:r>
    </w:p>
    <w:bookmarkEnd w:id="34"/>
    <w:bookmarkStart w:name="z42" w:id="35"/>
    <w:p>
      <w:pPr>
        <w:spacing w:after="0"/>
        <w:ind w:left="0"/>
        <w:jc w:val="both"/>
      </w:pPr>
      <w:r>
        <w:rPr>
          <w:rFonts w:ascii="Times New Roman"/>
          <w:b w:val="false"/>
          <w:i w:val="false"/>
          <w:color w:val="000000"/>
          <w:sz w:val="28"/>
        </w:rPr>
        <w:t xml:space="preserve">
      4) таблица предлагаемых уровней тарифов согласно </w:t>
      </w:r>
      <w:r>
        <w:rPr>
          <w:rFonts w:ascii="Times New Roman"/>
          <w:b w:val="false"/>
          <w:i w:val="false"/>
          <w:color w:val="000000"/>
          <w:sz w:val="28"/>
        </w:rPr>
        <w:t>приложению 2</w:t>
      </w:r>
      <w:r>
        <w:rPr>
          <w:rFonts w:ascii="Times New Roman"/>
          <w:b w:val="false"/>
          <w:i w:val="false"/>
          <w:color w:val="000000"/>
          <w:sz w:val="28"/>
        </w:rPr>
        <w:t xml:space="preserve"> к форме заявки субъекта естественных монополии по проекту.</w:t>
      </w:r>
    </w:p>
    <w:bookmarkEnd w:id="35"/>
    <w:bookmarkStart w:name="z43" w:id="36"/>
    <w:p>
      <w:pPr>
        <w:spacing w:after="0"/>
        <w:ind w:left="0"/>
        <w:jc w:val="both"/>
      </w:pPr>
      <w:r>
        <w:rPr>
          <w:rFonts w:ascii="Times New Roman"/>
          <w:b w:val="false"/>
          <w:i w:val="false"/>
          <w:color w:val="000000"/>
          <w:sz w:val="28"/>
        </w:rPr>
        <w:t>
      9. При наличии по проекту утвержденных проектно-сметной документации или технико-экономического обоснования, не являющихся устаревшими на момент подачи заявки, с положительным заключением вневедомственной экспертизы, субъект естественной монополии прилагает к заявке ранее утвержденное задание на проектирование.</w:t>
      </w:r>
    </w:p>
    <w:bookmarkEnd w:id="36"/>
    <w:bookmarkStart w:name="z44" w:id="37"/>
    <w:p>
      <w:pPr>
        <w:spacing w:after="0"/>
        <w:ind w:left="0"/>
        <w:jc w:val="left"/>
      </w:pPr>
      <w:r>
        <w:rPr>
          <w:rFonts w:ascii="Times New Roman"/>
          <w:b/>
          <w:i w:val="false"/>
          <w:color w:val="000000"/>
        </w:rPr>
        <w:t xml:space="preserve"> Параграф 2. Отбор проектов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37"/>
    <w:bookmarkStart w:name="z45" w:id="38"/>
    <w:p>
      <w:pPr>
        <w:spacing w:after="0"/>
        <w:ind w:left="0"/>
        <w:jc w:val="both"/>
      </w:pPr>
      <w:r>
        <w:rPr>
          <w:rFonts w:ascii="Times New Roman"/>
          <w:b w:val="false"/>
          <w:i w:val="false"/>
          <w:color w:val="000000"/>
          <w:sz w:val="28"/>
        </w:rPr>
        <w:t>
      10. Заявка проверяется на корректность заполнения и полноту прилагаемых документов одновременно техническим оператором, финансовым оператором и тарифным регулятором, в срок до 5 (пяти) рабочих дней.</w:t>
      </w:r>
    </w:p>
    <w:bookmarkEnd w:id="38"/>
    <w:bookmarkStart w:name="z46" w:id="39"/>
    <w:p>
      <w:pPr>
        <w:spacing w:after="0"/>
        <w:ind w:left="0"/>
        <w:jc w:val="both"/>
      </w:pPr>
      <w:r>
        <w:rPr>
          <w:rFonts w:ascii="Times New Roman"/>
          <w:b w:val="false"/>
          <w:i w:val="false"/>
          <w:color w:val="000000"/>
          <w:sz w:val="28"/>
        </w:rPr>
        <w:t>
      В рамках срока, указанного в настоящем пункте, заявка предварительно согласовывается:</w:t>
      </w:r>
    </w:p>
    <w:bookmarkEnd w:id="39"/>
    <w:bookmarkStart w:name="z47" w:id="40"/>
    <w:p>
      <w:pPr>
        <w:spacing w:after="0"/>
        <w:ind w:left="0"/>
        <w:jc w:val="both"/>
      </w:pPr>
      <w:r>
        <w:rPr>
          <w:rFonts w:ascii="Times New Roman"/>
          <w:b w:val="false"/>
          <w:i w:val="false"/>
          <w:color w:val="000000"/>
          <w:sz w:val="28"/>
        </w:rPr>
        <w:t>
      по проектам модернизации и строительства сетей теплоснабжения, электроснабжения и источников теплоснабжения — уполномоченным органом в области электроэнергетики и теплоэнергетики;</w:t>
      </w:r>
    </w:p>
    <w:bookmarkEnd w:id="40"/>
    <w:bookmarkStart w:name="z48" w:id="41"/>
    <w:p>
      <w:pPr>
        <w:spacing w:after="0"/>
        <w:ind w:left="0"/>
        <w:jc w:val="both"/>
      </w:pPr>
      <w:r>
        <w:rPr>
          <w:rFonts w:ascii="Times New Roman"/>
          <w:b w:val="false"/>
          <w:i w:val="false"/>
          <w:color w:val="000000"/>
          <w:sz w:val="28"/>
        </w:rPr>
        <w:t>
      по проектам модернизации и строительства в сфере водоснабжения и водоотведения — уполномоченным органом в сфере жилищных отношений и жилищно-коммунального хозяйства.</w:t>
      </w:r>
    </w:p>
    <w:bookmarkEnd w:id="41"/>
    <w:bookmarkStart w:name="z49" w:id="42"/>
    <w:p>
      <w:pPr>
        <w:spacing w:after="0"/>
        <w:ind w:left="0"/>
        <w:jc w:val="both"/>
      </w:pPr>
      <w:r>
        <w:rPr>
          <w:rFonts w:ascii="Times New Roman"/>
          <w:b w:val="false"/>
          <w:i w:val="false"/>
          <w:color w:val="000000"/>
          <w:sz w:val="28"/>
        </w:rPr>
        <w:t>
      Уполномоченными органами отказывается в предварительном согласовании заявки, в случае несоответствия проекта государственной политике, реализуемой уполномоченными органами в соответствующей сфере.</w:t>
      </w:r>
    </w:p>
    <w:bookmarkEnd w:id="42"/>
    <w:bookmarkStart w:name="z50" w:id="43"/>
    <w:p>
      <w:pPr>
        <w:spacing w:after="0"/>
        <w:ind w:left="0"/>
        <w:jc w:val="both"/>
      </w:pPr>
      <w:r>
        <w:rPr>
          <w:rFonts w:ascii="Times New Roman"/>
          <w:b w:val="false"/>
          <w:i w:val="false"/>
          <w:color w:val="000000"/>
          <w:sz w:val="28"/>
        </w:rPr>
        <w:t>
      11. Заявка возвращается по замечаниям технического оператора, или финансового оператора, или тарифного регулятора, на доработку с указанием причин в случаях:</w:t>
      </w:r>
    </w:p>
    <w:bookmarkEnd w:id="43"/>
    <w:bookmarkStart w:name="z51" w:id="44"/>
    <w:p>
      <w:pPr>
        <w:spacing w:after="0"/>
        <w:ind w:left="0"/>
        <w:jc w:val="both"/>
      </w:pPr>
      <w:r>
        <w:rPr>
          <w:rFonts w:ascii="Times New Roman"/>
          <w:b w:val="false"/>
          <w:i w:val="false"/>
          <w:color w:val="000000"/>
          <w:sz w:val="28"/>
        </w:rPr>
        <w:t>
      1) некорректного заполнения формы заявки;</w:t>
      </w:r>
    </w:p>
    <w:bookmarkEnd w:id="44"/>
    <w:bookmarkStart w:name="z52" w:id="45"/>
    <w:p>
      <w:pPr>
        <w:spacing w:after="0"/>
        <w:ind w:left="0"/>
        <w:jc w:val="both"/>
      </w:pPr>
      <w:r>
        <w:rPr>
          <w:rFonts w:ascii="Times New Roman"/>
          <w:b w:val="false"/>
          <w:i w:val="false"/>
          <w:color w:val="000000"/>
          <w:sz w:val="28"/>
        </w:rPr>
        <w:t>
      2) не полноты представленных документов.</w:t>
      </w:r>
    </w:p>
    <w:bookmarkEnd w:id="45"/>
    <w:bookmarkStart w:name="z53" w:id="46"/>
    <w:p>
      <w:pPr>
        <w:spacing w:after="0"/>
        <w:ind w:left="0"/>
        <w:jc w:val="both"/>
      </w:pPr>
      <w:r>
        <w:rPr>
          <w:rFonts w:ascii="Times New Roman"/>
          <w:b w:val="false"/>
          <w:i w:val="false"/>
          <w:color w:val="000000"/>
          <w:sz w:val="28"/>
        </w:rPr>
        <w:t>
      12. После устранения замечаний доработанная заявка направляется повторно.</w:t>
      </w:r>
    </w:p>
    <w:bookmarkEnd w:id="46"/>
    <w:bookmarkStart w:name="z54" w:id="47"/>
    <w:p>
      <w:pPr>
        <w:spacing w:after="0"/>
        <w:ind w:left="0"/>
        <w:jc w:val="both"/>
      </w:pPr>
      <w:r>
        <w:rPr>
          <w:rFonts w:ascii="Times New Roman"/>
          <w:b w:val="false"/>
          <w:i w:val="false"/>
          <w:color w:val="000000"/>
          <w:sz w:val="28"/>
        </w:rPr>
        <w:t>
      13. По итогам проверки на корректность заполнения и полноту прилагаемых документов, а также предварительного согласования в соответствии с пунктом 10 Правил, заявка принимается в работу.</w:t>
      </w:r>
    </w:p>
    <w:bookmarkEnd w:id="47"/>
    <w:bookmarkStart w:name="z55" w:id="48"/>
    <w:p>
      <w:pPr>
        <w:spacing w:after="0"/>
        <w:ind w:left="0"/>
        <w:jc w:val="both"/>
      </w:pPr>
      <w:r>
        <w:rPr>
          <w:rFonts w:ascii="Times New Roman"/>
          <w:b w:val="false"/>
          <w:i w:val="false"/>
          <w:color w:val="000000"/>
          <w:sz w:val="28"/>
        </w:rPr>
        <w:t>
      14. По принятой в работу заявке технический оператор на электронной платформе рассматривает задание на проектирование на предмет:</w:t>
      </w:r>
    </w:p>
    <w:bookmarkEnd w:id="48"/>
    <w:bookmarkStart w:name="z56" w:id="49"/>
    <w:p>
      <w:pPr>
        <w:spacing w:after="0"/>
        <w:ind w:left="0"/>
        <w:jc w:val="both"/>
      </w:pPr>
      <w:r>
        <w:rPr>
          <w:rFonts w:ascii="Times New Roman"/>
          <w:b w:val="false"/>
          <w:i w:val="false"/>
          <w:color w:val="000000"/>
          <w:sz w:val="28"/>
        </w:rPr>
        <w:t>
      1) обоснованности технико-экономических параметров, планируемых технико-технологических решений;</w:t>
      </w:r>
    </w:p>
    <w:bookmarkEnd w:id="49"/>
    <w:bookmarkStart w:name="z57" w:id="50"/>
    <w:p>
      <w:pPr>
        <w:spacing w:after="0"/>
        <w:ind w:left="0"/>
        <w:jc w:val="both"/>
      </w:pPr>
      <w:r>
        <w:rPr>
          <w:rFonts w:ascii="Times New Roman"/>
          <w:b w:val="false"/>
          <w:i w:val="false"/>
          <w:color w:val="000000"/>
          <w:sz w:val="28"/>
        </w:rPr>
        <w:t>
      2) соответствия утвержденным документам территориального и социально-экономического планирования, включая генеральному плану населенного пункта, документам планирования развития инженерной инфраструктуры, а также комплексному плану социально-экономического развития региона;</w:t>
      </w:r>
    </w:p>
    <w:bookmarkEnd w:id="50"/>
    <w:bookmarkStart w:name="z58" w:id="51"/>
    <w:p>
      <w:pPr>
        <w:spacing w:after="0"/>
        <w:ind w:left="0"/>
        <w:jc w:val="both"/>
      </w:pPr>
      <w:r>
        <w:rPr>
          <w:rFonts w:ascii="Times New Roman"/>
          <w:b w:val="false"/>
          <w:i w:val="false"/>
          <w:color w:val="000000"/>
          <w:sz w:val="28"/>
        </w:rPr>
        <w:t>
      3) наличия требований по обеспечению товаров, работ и услуг казахстанского производства, внедрению энергоэффективных технологий, оборудования и решений, ориентированных на устойчивое развитие и снижение экологической нагрузки;</w:t>
      </w:r>
    </w:p>
    <w:bookmarkEnd w:id="51"/>
    <w:bookmarkStart w:name="z59" w:id="52"/>
    <w:p>
      <w:pPr>
        <w:spacing w:after="0"/>
        <w:ind w:left="0"/>
        <w:jc w:val="both"/>
      </w:pPr>
      <w:r>
        <w:rPr>
          <w:rFonts w:ascii="Times New Roman"/>
          <w:b w:val="false"/>
          <w:i w:val="false"/>
          <w:color w:val="000000"/>
          <w:sz w:val="28"/>
        </w:rPr>
        <w:t>
      4) соответствия установленных проектных параметров целям и задачам Национального проекта;</w:t>
      </w:r>
    </w:p>
    <w:bookmarkEnd w:id="52"/>
    <w:bookmarkStart w:name="z60" w:id="53"/>
    <w:p>
      <w:pPr>
        <w:spacing w:after="0"/>
        <w:ind w:left="0"/>
        <w:jc w:val="both"/>
      </w:pPr>
      <w:r>
        <w:rPr>
          <w:rFonts w:ascii="Times New Roman"/>
          <w:b w:val="false"/>
          <w:i w:val="false"/>
          <w:color w:val="000000"/>
          <w:sz w:val="28"/>
        </w:rPr>
        <w:t>
      5) наличия в проекте компонентов, направленных на автоматизацию и цифровизацию технологических процессов в системах тепло-, электро-, водоснабжения и водоотведения (при функциональной необходимости).</w:t>
      </w:r>
    </w:p>
    <w:bookmarkEnd w:id="53"/>
    <w:bookmarkStart w:name="z61" w:id="54"/>
    <w:p>
      <w:pPr>
        <w:spacing w:after="0"/>
        <w:ind w:left="0"/>
        <w:jc w:val="both"/>
      </w:pPr>
      <w:r>
        <w:rPr>
          <w:rFonts w:ascii="Times New Roman"/>
          <w:b w:val="false"/>
          <w:i w:val="false"/>
          <w:color w:val="000000"/>
          <w:sz w:val="28"/>
        </w:rPr>
        <w:t>
      15. В случае несоответствия задания на проектирование пункту 14 Правил, техническим оператором заявка возвращается субъекту естественной монополии на доработку. После устранения замечаний доработанное задание на проектирование подается на повторное рассмотрение техническому оператору.</w:t>
      </w:r>
    </w:p>
    <w:bookmarkEnd w:id="54"/>
    <w:bookmarkStart w:name="z62" w:id="55"/>
    <w:p>
      <w:pPr>
        <w:spacing w:after="0"/>
        <w:ind w:left="0"/>
        <w:jc w:val="both"/>
      </w:pPr>
      <w:r>
        <w:rPr>
          <w:rFonts w:ascii="Times New Roman"/>
          <w:b w:val="false"/>
          <w:i w:val="false"/>
          <w:color w:val="000000"/>
          <w:sz w:val="28"/>
        </w:rPr>
        <w:t xml:space="preserve">
      16. Технический оператор рассматривает принятую в работу заявку и осуществляет комплексную балльную оценку проекта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на предмет:</w:t>
      </w:r>
    </w:p>
    <w:bookmarkEnd w:id="55"/>
    <w:bookmarkStart w:name="z63" w:id="56"/>
    <w:p>
      <w:pPr>
        <w:spacing w:after="0"/>
        <w:ind w:left="0"/>
        <w:jc w:val="both"/>
      </w:pPr>
      <w:r>
        <w:rPr>
          <w:rFonts w:ascii="Times New Roman"/>
          <w:b w:val="false"/>
          <w:i w:val="false"/>
          <w:color w:val="000000"/>
          <w:sz w:val="28"/>
        </w:rPr>
        <w:t>
      1) целесообразности - социально-экономической значимости проекта, включая повышение качества и надежности предоставляемых коммунальных услуг, обеспечения непрерывности их оказания, расширения охвата потребителей, а также повышения комфортности условий проживания населения;</w:t>
      </w:r>
    </w:p>
    <w:bookmarkEnd w:id="56"/>
    <w:bookmarkStart w:name="z64" w:id="57"/>
    <w:p>
      <w:pPr>
        <w:spacing w:after="0"/>
        <w:ind w:left="0"/>
        <w:jc w:val="both"/>
      </w:pPr>
      <w:r>
        <w:rPr>
          <w:rFonts w:ascii="Times New Roman"/>
          <w:b w:val="false"/>
          <w:i w:val="false"/>
          <w:color w:val="000000"/>
          <w:sz w:val="28"/>
        </w:rPr>
        <w:t>
      2) обоснованности - улучшения эксплуатационных, технических и технологических характеристик существующей инфраструктуры на проектируемом участке с обеспечением комплексного учета, управления и мониторинга водных и энергетических ресурсов;</w:t>
      </w:r>
    </w:p>
    <w:bookmarkEnd w:id="57"/>
    <w:bookmarkStart w:name="z65" w:id="58"/>
    <w:p>
      <w:pPr>
        <w:spacing w:after="0"/>
        <w:ind w:left="0"/>
        <w:jc w:val="both"/>
      </w:pPr>
      <w:r>
        <w:rPr>
          <w:rFonts w:ascii="Times New Roman"/>
          <w:b w:val="false"/>
          <w:i w:val="false"/>
          <w:color w:val="000000"/>
          <w:sz w:val="28"/>
        </w:rPr>
        <w:t>
      3) приоритетности - степени физического износа оборудования и (или) сетей, количества и частоты аварий, отказов и технологических нарушений, а также срока эксплуатации объектов.</w:t>
      </w:r>
    </w:p>
    <w:bookmarkEnd w:id="58"/>
    <w:bookmarkStart w:name="z66" w:id="59"/>
    <w:p>
      <w:pPr>
        <w:spacing w:after="0"/>
        <w:ind w:left="0"/>
        <w:jc w:val="both"/>
      </w:pPr>
      <w:r>
        <w:rPr>
          <w:rFonts w:ascii="Times New Roman"/>
          <w:b w:val="false"/>
          <w:i w:val="false"/>
          <w:color w:val="000000"/>
          <w:sz w:val="28"/>
        </w:rPr>
        <w:t>
      17. При недостижении 50 баллов по итогам комплексной балльной оценки проект не подлежит дальнейшей реализации. В этом случае технический оператор отказывает в согласовании и выдает субъекту естественной монополии мотивированное заключение с указанием замечаний.</w:t>
      </w:r>
    </w:p>
    <w:bookmarkEnd w:id="59"/>
    <w:bookmarkStart w:name="z67" w:id="60"/>
    <w:p>
      <w:pPr>
        <w:spacing w:after="0"/>
        <w:ind w:left="0"/>
        <w:jc w:val="both"/>
      </w:pPr>
      <w:r>
        <w:rPr>
          <w:rFonts w:ascii="Times New Roman"/>
          <w:b w:val="false"/>
          <w:i w:val="false"/>
          <w:color w:val="000000"/>
          <w:sz w:val="28"/>
        </w:rPr>
        <w:t>
      18. При достижении 50 баллов по итогам комплексной балльной оценки технический оператор уведомляет соответствующих субъекта естественной монополии и местный исполнительный орган о согласовании заявки посредством электронной платформы.</w:t>
      </w:r>
    </w:p>
    <w:bookmarkEnd w:id="60"/>
    <w:bookmarkStart w:name="z68" w:id="61"/>
    <w:p>
      <w:pPr>
        <w:spacing w:after="0"/>
        <w:ind w:left="0"/>
        <w:jc w:val="both"/>
      </w:pPr>
      <w:r>
        <w:rPr>
          <w:rFonts w:ascii="Times New Roman"/>
          <w:b w:val="false"/>
          <w:i w:val="false"/>
          <w:color w:val="000000"/>
          <w:sz w:val="28"/>
        </w:rPr>
        <w:t>
      19. Рассмотрение заявки в соответствии с пунктами 14 и 16 Правил осуществляется в течение 10 (десяти) рабочих дней с даты принятия ее в работу.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промышленности и строительства РК от 06.02.2026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20. В случае внесения изменений в согласованное задание на проектирование, измененное задание на проектирование подлежит повторному согласованию техническим оператором в порядке, установленном пунктом 19 Правил.</w:t>
      </w:r>
    </w:p>
    <w:bookmarkEnd w:id="62"/>
    <w:bookmarkStart w:name="z70" w:id="63"/>
    <w:p>
      <w:pPr>
        <w:spacing w:after="0"/>
        <w:ind w:left="0"/>
        <w:jc w:val="both"/>
      </w:pPr>
      <w:r>
        <w:rPr>
          <w:rFonts w:ascii="Times New Roman"/>
          <w:b w:val="false"/>
          <w:i w:val="false"/>
          <w:color w:val="000000"/>
          <w:sz w:val="28"/>
        </w:rPr>
        <w:t>
      21. После согласования техническим оператором заявки по проекту тарифный регулятор в течение 7 (семи) рабочих дней рассматривает заявку и определяет предварительный уровень тарифа с выдачей соответствующего заключения на электронной платформе.</w:t>
      </w:r>
    </w:p>
    <w:bookmarkEnd w:id="63"/>
    <w:bookmarkStart w:name="z71" w:id="64"/>
    <w:p>
      <w:pPr>
        <w:spacing w:after="0"/>
        <w:ind w:left="0"/>
        <w:jc w:val="both"/>
      </w:pPr>
      <w:r>
        <w:rPr>
          <w:rFonts w:ascii="Times New Roman"/>
          <w:b w:val="false"/>
          <w:i w:val="false"/>
          <w:color w:val="000000"/>
          <w:sz w:val="28"/>
        </w:rPr>
        <w:t xml:space="preserve">
      Дальнейшее утверждение тарифа по проекту осуществляется в соответствии с пунктом 36 Правил до выделения финансирования для субъекта естественной монополии согласно Правилам формирования тарифов,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под № 19617).</w:t>
      </w:r>
    </w:p>
    <w:bookmarkEnd w:id="64"/>
    <w:bookmarkStart w:name="z72" w:id="65"/>
    <w:p>
      <w:pPr>
        <w:spacing w:after="0"/>
        <w:ind w:left="0"/>
        <w:jc w:val="both"/>
      </w:pPr>
      <w:r>
        <w:rPr>
          <w:rFonts w:ascii="Times New Roman"/>
          <w:b w:val="false"/>
          <w:i w:val="false"/>
          <w:color w:val="000000"/>
          <w:sz w:val="28"/>
        </w:rPr>
        <w:t>
      22. Финансовому оператору заявка поступает посредством электронной платформы после ее согласования техническим оператором и тарифным регулятором.</w:t>
      </w:r>
    </w:p>
    <w:bookmarkEnd w:id="65"/>
    <w:bookmarkStart w:name="z73" w:id="66"/>
    <w:p>
      <w:pPr>
        <w:spacing w:after="0"/>
        <w:ind w:left="0"/>
        <w:jc w:val="both"/>
      </w:pPr>
      <w:r>
        <w:rPr>
          <w:rFonts w:ascii="Times New Roman"/>
          <w:b w:val="false"/>
          <w:i w:val="false"/>
          <w:color w:val="000000"/>
          <w:sz w:val="28"/>
        </w:rPr>
        <w:t xml:space="preserve">
      Рассмотрение заявки финансовым оператором осуществляется в течение 7 (семи) рабочих дней в порядке, предусмотренном </w:t>
      </w:r>
      <w:r>
        <w:rPr>
          <w:rFonts w:ascii="Times New Roman"/>
          <w:b w:val="false"/>
          <w:i w:val="false"/>
          <w:color w:val="000000"/>
          <w:sz w:val="28"/>
        </w:rPr>
        <w:t>подпунктом 33-1)</w:t>
      </w:r>
      <w:r>
        <w:rPr>
          <w:rFonts w:ascii="Times New Roman"/>
          <w:b w:val="false"/>
          <w:i w:val="false"/>
          <w:color w:val="000000"/>
          <w:sz w:val="28"/>
        </w:rPr>
        <w:t xml:space="preserve"> статьи 8 Закона Республики Казахстан "О естественных монополиях".</w:t>
      </w:r>
    </w:p>
    <w:bookmarkEnd w:id="66"/>
    <w:bookmarkStart w:name="z74" w:id="67"/>
    <w:p>
      <w:pPr>
        <w:spacing w:after="0"/>
        <w:ind w:left="0"/>
        <w:jc w:val="both"/>
      </w:pPr>
      <w:r>
        <w:rPr>
          <w:rFonts w:ascii="Times New Roman"/>
          <w:b w:val="false"/>
          <w:i w:val="false"/>
          <w:color w:val="000000"/>
          <w:sz w:val="28"/>
        </w:rPr>
        <w:t>
      Дальнейшие процедуры финансирования проекта реализуются в соответствии с пунктами 35, 38 Правил в зависимости от определенного финансовым оператором механизма финансирования и (или) субсидирования части ставки вознаграждения по займу.</w:t>
      </w:r>
    </w:p>
    <w:bookmarkEnd w:id="67"/>
    <w:bookmarkStart w:name="z75" w:id="68"/>
    <w:p>
      <w:pPr>
        <w:spacing w:after="0"/>
        <w:ind w:left="0"/>
        <w:jc w:val="both"/>
      </w:pPr>
      <w:r>
        <w:rPr>
          <w:rFonts w:ascii="Times New Roman"/>
          <w:b w:val="false"/>
          <w:i w:val="false"/>
          <w:color w:val="000000"/>
          <w:sz w:val="28"/>
        </w:rPr>
        <w:t>
      23. На основании заключений технического оператора, тарифного регулятора, финансового оператора полученных на заявку посредством электронной платформы, проект автоматически включается в перечень проектов, подлежащих реализации в рамках Национального проекта.</w:t>
      </w:r>
    </w:p>
    <w:bookmarkEnd w:id="68"/>
    <w:bookmarkStart w:name="z192" w:id="69"/>
    <w:p>
      <w:pPr>
        <w:spacing w:after="0"/>
        <w:ind w:left="0"/>
        <w:jc w:val="both"/>
      </w:pPr>
      <w:r>
        <w:rPr>
          <w:rFonts w:ascii="Times New Roman"/>
          <w:b w:val="false"/>
          <w:i w:val="false"/>
          <w:color w:val="000000"/>
          <w:sz w:val="28"/>
        </w:rPr>
        <w:t xml:space="preserve">
      23-1. После включения проекта в перечень проектов, подлежащих реализации в рамках Национального проекта, направление материалов и их рассмотрение соответствующими финансовыми институтами и (или) дочерними организациями финансового оператора,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утвержденными приказом Заместителя Премьер-Министра – Министра национальной экономики Республики Казахстан от 4 сентября 2025 года № 88 (зарегистрирован в Реестре государственной регистрации нормативных правовых актов под № 36799).</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промышленности и строительства РК от 06.02.2026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left"/>
      </w:pPr>
      <w:r>
        <w:rPr>
          <w:rFonts w:ascii="Times New Roman"/>
          <w:b/>
          <w:i w:val="false"/>
          <w:color w:val="000000"/>
        </w:rPr>
        <w:t xml:space="preserve"> Параграф 3. Согласование проектов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70"/>
    <w:bookmarkStart w:name="z77" w:id="71"/>
    <w:p>
      <w:pPr>
        <w:spacing w:after="0"/>
        <w:ind w:left="0"/>
        <w:jc w:val="both"/>
      </w:pPr>
      <w:r>
        <w:rPr>
          <w:rFonts w:ascii="Times New Roman"/>
          <w:b w:val="false"/>
          <w:i w:val="false"/>
          <w:color w:val="000000"/>
          <w:sz w:val="28"/>
        </w:rPr>
        <w:t xml:space="preserve">
      24. В целях дальнейшей реализации отобранного проекта, включенного в перечень проектов, подлежащих реализации в рамках Национального проекта, субъектом естественной монополии осуществляется реализация проекта строительства "под ключ" посредством проведения закупок работ и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10-12 Закона Республики Казахстан "О жилищных отношениях".</w:t>
      </w:r>
    </w:p>
    <w:bookmarkEnd w:id="71"/>
    <w:bookmarkStart w:name="z78" w:id="72"/>
    <w:p>
      <w:pPr>
        <w:spacing w:after="0"/>
        <w:ind w:left="0"/>
        <w:jc w:val="both"/>
      </w:pPr>
      <w:r>
        <w:rPr>
          <w:rFonts w:ascii="Times New Roman"/>
          <w:b w:val="false"/>
          <w:i w:val="false"/>
          <w:color w:val="000000"/>
          <w:sz w:val="28"/>
        </w:rPr>
        <w:t>
      25. Решение о дальнейшем использовании либо корректировке ранее разработанной проектно-сметной документации принимает победитель конкурса по отбору подрядчика или консорциума.</w:t>
      </w:r>
    </w:p>
    <w:bookmarkEnd w:id="72"/>
    <w:bookmarkStart w:name="z79" w:id="73"/>
    <w:p>
      <w:pPr>
        <w:spacing w:after="0"/>
        <w:ind w:left="0"/>
        <w:jc w:val="both"/>
      </w:pPr>
      <w:r>
        <w:rPr>
          <w:rFonts w:ascii="Times New Roman"/>
          <w:b w:val="false"/>
          <w:i w:val="false"/>
          <w:color w:val="000000"/>
          <w:sz w:val="28"/>
        </w:rPr>
        <w:t>
      Допускается использование ранее разработанной проектно-сметной документации после проведения экспертизы технико-технологических решений, согласованных с заказчиком.</w:t>
      </w:r>
    </w:p>
    <w:bookmarkEnd w:id="73"/>
    <w:bookmarkStart w:name="z80" w:id="74"/>
    <w:p>
      <w:pPr>
        <w:spacing w:after="0"/>
        <w:ind w:left="0"/>
        <w:jc w:val="both"/>
      </w:pPr>
      <w:r>
        <w:rPr>
          <w:rFonts w:ascii="Times New Roman"/>
          <w:b w:val="false"/>
          <w:i w:val="false"/>
          <w:color w:val="000000"/>
          <w:sz w:val="28"/>
        </w:rPr>
        <w:t>
      26. Разработанная и подписанная заказчиком, разработчиком и главным инженером проекта проектно-сметная документация до прохождения комплексной вневедомственной экспертизы направляется субъектом естественной монополии посредством электронной платформы техническому оператору на осуществление экспертизы технико-технологических решений проекта.</w:t>
      </w:r>
    </w:p>
    <w:bookmarkEnd w:id="74"/>
    <w:bookmarkStart w:name="z81" w:id="75"/>
    <w:p>
      <w:pPr>
        <w:spacing w:after="0"/>
        <w:ind w:left="0"/>
        <w:jc w:val="both"/>
      </w:pPr>
      <w:r>
        <w:rPr>
          <w:rFonts w:ascii="Times New Roman"/>
          <w:b w:val="false"/>
          <w:i w:val="false"/>
          <w:color w:val="000000"/>
          <w:sz w:val="28"/>
        </w:rPr>
        <w:t>
      27. Экспертиза технико-технологических решений проекта осуществляется техническим оператором в течение 15 (пятнадцати) рабочих дней с даты получения проектно-сметной документации, по результатам формируется заключение экспертизы технико-технологических решений.</w:t>
      </w:r>
    </w:p>
    <w:bookmarkEnd w:id="75"/>
    <w:bookmarkStart w:name="z82" w:id="76"/>
    <w:p>
      <w:pPr>
        <w:spacing w:after="0"/>
        <w:ind w:left="0"/>
        <w:jc w:val="both"/>
      </w:pPr>
      <w:r>
        <w:rPr>
          <w:rFonts w:ascii="Times New Roman"/>
          <w:b w:val="false"/>
          <w:i w:val="false"/>
          <w:color w:val="000000"/>
          <w:sz w:val="28"/>
        </w:rPr>
        <w:t>
      28. Экспертиза технико-технологических решений осуществляется по следующим направлениям:</w:t>
      </w:r>
    </w:p>
    <w:bookmarkEnd w:id="76"/>
    <w:bookmarkStart w:name="z83" w:id="77"/>
    <w:p>
      <w:pPr>
        <w:spacing w:after="0"/>
        <w:ind w:left="0"/>
        <w:jc w:val="both"/>
      </w:pPr>
      <w:r>
        <w:rPr>
          <w:rFonts w:ascii="Times New Roman"/>
          <w:b w:val="false"/>
          <w:i w:val="false"/>
          <w:color w:val="000000"/>
          <w:sz w:val="28"/>
        </w:rPr>
        <w:t>
      1) соответствие технико-технологических решений согласованной заявке по проекту и утвержденному заданию на проектирование;</w:t>
      </w:r>
    </w:p>
    <w:bookmarkEnd w:id="77"/>
    <w:bookmarkStart w:name="z84" w:id="78"/>
    <w:p>
      <w:pPr>
        <w:spacing w:after="0"/>
        <w:ind w:left="0"/>
        <w:jc w:val="both"/>
      </w:pPr>
      <w:r>
        <w:rPr>
          <w:rFonts w:ascii="Times New Roman"/>
          <w:b w:val="false"/>
          <w:i w:val="false"/>
          <w:color w:val="000000"/>
          <w:sz w:val="28"/>
        </w:rPr>
        <w:t>
      2) эффективность инвестиций и технико-экономических показателей, подтверждающих обоснованность проектных решений;</w:t>
      </w:r>
    </w:p>
    <w:bookmarkEnd w:id="78"/>
    <w:bookmarkStart w:name="z85" w:id="79"/>
    <w:p>
      <w:pPr>
        <w:spacing w:after="0"/>
        <w:ind w:left="0"/>
        <w:jc w:val="both"/>
      </w:pPr>
      <w:r>
        <w:rPr>
          <w:rFonts w:ascii="Times New Roman"/>
          <w:b w:val="false"/>
          <w:i w:val="false"/>
          <w:color w:val="000000"/>
          <w:sz w:val="28"/>
        </w:rPr>
        <w:t>
      3) рациональный подбор материалов, оборудования и технологий с приоритетом продукции казахстанских товаропроизводителей;</w:t>
      </w:r>
    </w:p>
    <w:bookmarkEnd w:id="79"/>
    <w:bookmarkStart w:name="z86" w:id="80"/>
    <w:p>
      <w:pPr>
        <w:spacing w:after="0"/>
        <w:ind w:left="0"/>
        <w:jc w:val="both"/>
      </w:pPr>
      <w:r>
        <w:rPr>
          <w:rFonts w:ascii="Times New Roman"/>
          <w:b w:val="false"/>
          <w:i w:val="false"/>
          <w:color w:val="000000"/>
          <w:sz w:val="28"/>
        </w:rPr>
        <w:t>
      4) внедрение энергоэффективных решений, автоматизированных систем управления и приборов учета с функцией дистанционной передачи данных;</w:t>
      </w:r>
    </w:p>
    <w:bookmarkEnd w:id="80"/>
    <w:bookmarkStart w:name="z87" w:id="81"/>
    <w:p>
      <w:pPr>
        <w:spacing w:after="0"/>
        <w:ind w:left="0"/>
        <w:jc w:val="both"/>
      </w:pPr>
      <w:r>
        <w:rPr>
          <w:rFonts w:ascii="Times New Roman"/>
          <w:b w:val="false"/>
          <w:i w:val="false"/>
          <w:color w:val="000000"/>
          <w:sz w:val="28"/>
        </w:rPr>
        <w:t>
      5) соответствие целям и задачам Национального проекта.</w:t>
      </w:r>
    </w:p>
    <w:bookmarkEnd w:id="81"/>
    <w:bookmarkStart w:name="z88" w:id="82"/>
    <w:p>
      <w:pPr>
        <w:spacing w:after="0"/>
        <w:ind w:left="0"/>
        <w:jc w:val="both"/>
      </w:pPr>
      <w:r>
        <w:rPr>
          <w:rFonts w:ascii="Times New Roman"/>
          <w:b w:val="false"/>
          <w:i w:val="false"/>
          <w:color w:val="000000"/>
          <w:sz w:val="28"/>
        </w:rPr>
        <w:t>
      29. Заключение экспертизы технико-технологических решений включает следующие разделы:</w:t>
      </w:r>
    </w:p>
    <w:bookmarkEnd w:id="82"/>
    <w:bookmarkStart w:name="z89" w:id="83"/>
    <w:p>
      <w:pPr>
        <w:spacing w:after="0"/>
        <w:ind w:left="0"/>
        <w:jc w:val="both"/>
      </w:pPr>
      <w:r>
        <w:rPr>
          <w:rFonts w:ascii="Times New Roman"/>
          <w:b w:val="false"/>
          <w:i w:val="false"/>
          <w:color w:val="000000"/>
          <w:sz w:val="28"/>
        </w:rPr>
        <w:t>
      1) сведения о субъекте естественной монополии;</w:t>
      </w:r>
    </w:p>
    <w:bookmarkEnd w:id="83"/>
    <w:bookmarkStart w:name="z90" w:id="84"/>
    <w:p>
      <w:pPr>
        <w:spacing w:after="0"/>
        <w:ind w:left="0"/>
        <w:jc w:val="both"/>
      </w:pPr>
      <w:r>
        <w:rPr>
          <w:rFonts w:ascii="Times New Roman"/>
          <w:b w:val="false"/>
          <w:i w:val="false"/>
          <w:color w:val="000000"/>
          <w:sz w:val="28"/>
        </w:rPr>
        <w:t>
      2) общая характеристика проекта;</w:t>
      </w:r>
    </w:p>
    <w:bookmarkEnd w:id="84"/>
    <w:bookmarkStart w:name="z91" w:id="85"/>
    <w:p>
      <w:pPr>
        <w:spacing w:after="0"/>
        <w:ind w:left="0"/>
        <w:jc w:val="both"/>
      </w:pPr>
      <w:r>
        <w:rPr>
          <w:rFonts w:ascii="Times New Roman"/>
          <w:b w:val="false"/>
          <w:i w:val="false"/>
          <w:color w:val="000000"/>
          <w:sz w:val="28"/>
        </w:rPr>
        <w:t>
      3) перечень применяемых основных строительных материалов, изделий, конструкций и оборудования с указанием казахстанских товаропроизводителей;</w:t>
      </w:r>
    </w:p>
    <w:bookmarkEnd w:id="85"/>
    <w:bookmarkStart w:name="z92" w:id="86"/>
    <w:p>
      <w:pPr>
        <w:spacing w:after="0"/>
        <w:ind w:left="0"/>
        <w:jc w:val="both"/>
      </w:pPr>
      <w:r>
        <w:rPr>
          <w:rFonts w:ascii="Times New Roman"/>
          <w:b w:val="false"/>
          <w:i w:val="false"/>
          <w:color w:val="000000"/>
          <w:sz w:val="28"/>
        </w:rPr>
        <w:t>
      4) техническая часть, содержащая описание применяемых технико-технологических решений;</w:t>
      </w:r>
    </w:p>
    <w:bookmarkEnd w:id="86"/>
    <w:bookmarkStart w:name="z93" w:id="87"/>
    <w:p>
      <w:pPr>
        <w:spacing w:after="0"/>
        <w:ind w:left="0"/>
        <w:jc w:val="both"/>
      </w:pPr>
      <w:r>
        <w:rPr>
          <w:rFonts w:ascii="Times New Roman"/>
          <w:b w:val="false"/>
          <w:i w:val="false"/>
          <w:color w:val="000000"/>
          <w:sz w:val="28"/>
        </w:rPr>
        <w:t>
      5) общие выводы.</w:t>
      </w:r>
    </w:p>
    <w:bookmarkEnd w:id="87"/>
    <w:bookmarkStart w:name="z94" w:id="88"/>
    <w:p>
      <w:pPr>
        <w:spacing w:after="0"/>
        <w:ind w:left="0"/>
        <w:jc w:val="both"/>
      </w:pPr>
      <w:r>
        <w:rPr>
          <w:rFonts w:ascii="Times New Roman"/>
          <w:b w:val="false"/>
          <w:i w:val="false"/>
          <w:color w:val="000000"/>
          <w:sz w:val="28"/>
        </w:rPr>
        <w:t>
      30. При положительном заключении экспертизы технико-технологических решений проекта соответствующее уведомление автоматически направляется соответствующим субъекту естественной монополии и местному исполнительному органу посредством электронной платформы.</w:t>
      </w:r>
    </w:p>
    <w:bookmarkEnd w:id="88"/>
    <w:bookmarkStart w:name="z95" w:id="89"/>
    <w:p>
      <w:pPr>
        <w:spacing w:after="0"/>
        <w:ind w:left="0"/>
        <w:jc w:val="both"/>
      </w:pPr>
      <w:r>
        <w:rPr>
          <w:rFonts w:ascii="Times New Roman"/>
          <w:b w:val="false"/>
          <w:i w:val="false"/>
          <w:color w:val="000000"/>
          <w:sz w:val="28"/>
        </w:rPr>
        <w:t>
      31. В случае несоответствия заявки по направлениям, изложенным в пункте 28 Правил, проектно-сметная документация направляется техническим оператором на доработку, доработанная проектно-сметная документация вносится на рассмотрение повторно.</w:t>
      </w:r>
    </w:p>
    <w:bookmarkEnd w:id="89"/>
    <w:bookmarkStart w:name="z96" w:id="90"/>
    <w:p>
      <w:pPr>
        <w:spacing w:after="0"/>
        <w:ind w:left="0"/>
        <w:jc w:val="both"/>
      </w:pPr>
      <w:r>
        <w:rPr>
          <w:rFonts w:ascii="Times New Roman"/>
          <w:b w:val="false"/>
          <w:i w:val="false"/>
          <w:color w:val="000000"/>
          <w:sz w:val="28"/>
        </w:rPr>
        <w:t>
      32. Субъектом естественных монополий после получения заключения экспертизы технико-технологических решений материалы с проектно-сметной документацией по проекту направляются одновременно на проведение комплексной вневедомственной экспертизы и соответствующему финансовому институту в зависимости от определенного механизма финансирования.</w:t>
      </w:r>
    </w:p>
    <w:bookmarkEnd w:id="90"/>
    <w:bookmarkStart w:name="z97" w:id="91"/>
    <w:p>
      <w:pPr>
        <w:spacing w:after="0"/>
        <w:ind w:left="0"/>
        <w:jc w:val="both"/>
      </w:pPr>
      <w:r>
        <w:rPr>
          <w:rFonts w:ascii="Times New Roman"/>
          <w:b w:val="false"/>
          <w:i w:val="false"/>
          <w:color w:val="000000"/>
          <w:sz w:val="28"/>
        </w:rPr>
        <w:t xml:space="preserve">
      33. Субъект естественной монополии направляет проектно-сметную документацию на проведение комплексной вневедомственной экспертизы и осуществляет дальнейшее утверждение проекта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Правилами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апреля 2015 года № 299 (зарегистрирован в Реестре государственной регистрации нормативных правовых актов под № 10722).</w:t>
      </w:r>
    </w:p>
    <w:bookmarkEnd w:id="91"/>
    <w:bookmarkStart w:name="z98" w:id="92"/>
    <w:p>
      <w:pPr>
        <w:spacing w:after="0"/>
        <w:ind w:left="0"/>
        <w:jc w:val="both"/>
      </w:pPr>
      <w:r>
        <w:rPr>
          <w:rFonts w:ascii="Times New Roman"/>
          <w:b w:val="false"/>
          <w:i w:val="false"/>
          <w:color w:val="000000"/>
          <w:sz w:val="28"/>
        </w:rPr>
        <w:t>
      34. Все последующие изменения в проектно-сметную документацию вносятся по согласованию с техническим оператором. В целях согласования изменений субъект естественных монополий обращается к техническому оператору с обоснованием планируемых изменений с приложением соответствующих документов через электронную платформу. Технический оператор рассматривает в течение 7 (семи) рабочих дней с момента поступления документов и согласовывает изменения, либо оформляет результат рассмотрения в виде мотивированного отказа и направляет субъекту естественных монополий через электронную платформу.</w:t>
      </w:r>
    </w:p>
    <w:bookmarkEnd w:id="92"/>
    <w:bookmarkStart w:name="z99" w:id="93"/>
    <w:p>
      <w:pPr>
        <w:spacing w:after="0"/>
        <w:ind w:left="0"/>
        <w:jc w:val="both"/>
      </w:pPr>
      <w:r>
        <w:rPr>
          <w:rFonts w:ascii="Times New Roman"/>
          <w:b w:val="false"/>
          <w:i w:val="false"/>
          <w:color w:val="000000"/>
          <w:sz w:val="28"/>
        </w:rPr>
        <w:t>
      35. Финансовый институт рассматривает материалы и определяет условия финансирования в рамках механизма финансирования, определенного финансовым оператором в соответствии с пунктом 32 Правил, и уведомляет об итогах рассмотрения субъекта естественной монополии.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промышленности и строительства РК от 06.02.2026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xml:space="preserve">
      36. После получения положительных заключений экспертизы технико-технологических решений и комплексной вневедомственной экспертизы на проектно-сметную документацию, а также условий финансирования, тарифный регулятор утверждает тариф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под № 19617).</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промышленности и строительства РК от 06.02.2026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37. Решение тарифного регулятора об утверждении и (или) внесении изменений в тарифную смету и инвестиционную программу подлежит размещению на электронной платформе не позднее 7 (семи) рабочих дней со дня его принятия.</w:t>
      </w:r>
    </w:p>
    <w:bookmarkEnd w:id="95"/>
    <w:bookmarkStart w:name="z102" w:id="96"/>
    <w:p>
      <w:pPr>
        <w:spacing w:after="0"/>
        <w:ind w:left="0"/>
        <w:jc w:val="both"/>
      </w:pPr>
      <w:r>
        <w:rPr>
          <w:rFonts w:ascii="Times New Roman"/>
          <w:b w:val="false"/>
          <w:i w:val="false"/>
          <w:color w:val="000000"/>
          <w:sz w:val="28"/>
        </w:rPr>
        <w:t>
      38. Дальнейшее финансирование проекта осуществляется соответствующим финансовым институтом после утверждения и (или) внесения изменений в тарифную смету и инвестиционную программу и положительного заключения комплексной вневедомственной экспертизы на проектно-сметную документацию.</w:t>
      </w:r>
    </w:p>
    <w:bookmarkEnd w:id="96"/>
    <w:bookmarkStart w:name="z103" w:id="97"/>
    <w:p>
      <w:pPr>
        <w:spacing w:after="0"/>
        <w:ind w:left="0"/>
        <w:jc w:val="left"/>
      </w:pPr>
      <w:r>
        <w:rPr>
          <w:rFonts w:ascii="Times New Roman"/>
          <w:b/>
          <w:i w:val="false"/>
          <w:color w:val="000000"/>
        </w:rPr>
        <w:t xml:space="preserve"> Параграф 4. Мониторинг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97"/>
    <w:bookmarkStart w:name="z104" w:id="98"/>
    <w:p>
      <w:pPr>
        <w:spacing w:after="0"/>
        <w:ind w:left="0"/>
        <w:jc w:val="both"/>
      </w:pPr>
      <w:r>
        <w:rPr>
          <w:rFonts w:ascii="Times New Roman"/>
          <w:b w:val="false"/>
          <w:i w:val="false"/>
          <w:color w:val="000000"/>
          <w:sz w:val="28"/>
        </w:rPr>
        <w:t>
      39. В рамках Национального проекта техническим оператором проводится мониторинг процессов проектирования, строительства, реконструкции, модернизации и эксплуатации объектов, включая мониторинг качества оборудования, материалов, выполнения строительно-монтажных работ и участия в проектах казахстанских товаропроизводителей.</w:t>
      </w:r>
    </w:p>
    <w:bookmarkEnd w:id="98"/>
    <w:bookmarkStart w:name="z105" w:id="99"/>
    <w:p>
      <w:pPr>
        <w:spacing w:after="0"/>
        <w:ind w:left="0"/>
        <w:jc w:val="both"/>
      </w:pPr>
      <w:r>
        <w:rPr>
          <w:rFonts w:ascii="Times New Roman"/>
          <w:b w:val="false"/>
          <w:i w:val="false"/>
          <w:color w:val="000000"/>
          <w:sz w:val="28"/>
        </w:rPr>
        <w:t>
      40. Мониторинг осуществляется на электронной платформе на основе данных, предоставляемых заказчиком проекта, и визуального обследования техническим оператором объектов с проверкой фактического хода реализации проектов, контроля качества материалов и оборудования.</w:t>
      </w:r>
    </w:p>
    <w:bookmarkEnd w:id="99"/>
    <w:bookmarkStart w:name="z106" w:id="100"/>
    <w:p>
      <w:pPr>
        <w:spacing w:after="0"/>
        <w:ind w:left="0"/>
        <w:jc w:val="both"/>
      </w:pPr>
      <w:r>
        <w:rPr>
          <w:rFonts w:ascii="Times New Roman"/>
          <w:b w:val="false"/>
          <w:i w:val="false"/>
          <w:color w:val="000000"/>
          <w:sz w:val="28"/>
        </w:rPr>
        <w:t>
      41. Мониторинг процесса проектирования осуществляется посредством экспертизы технико-технологических решений, проводимой в порядке, предусмотренном параграфом 3 настоящей главы.</w:t>
      </w:r>
    </w:p>
    <w:bookmarkEnd w:id="100"/>
    <w:bookmarkStart w:name="z107" w:id="101"/>
    <w:p>
      <w:pPr>
        <w:spacing w:after="0"/>
        <w:ind w:left="0"/>
        <w:jc w:val="both"/>
      </w:pPr>
      <w:r>
        <w:rPr>
          <w:rFonts w:ascii="Times New Roman"/>
          <w:b w:val="false"/>
          <w:i w:val="false"/>
          <w:color w:val="000000"/>
          <w:sz w:val="28"/>
        </w:rPr>
        <w:t>
      42. Мониторинг строительства включает:</w:t>
      </w:r>
    </w:p>
    <w:bookmarkEnd w:id="101"/>
    <w:bookmarkStart w:name="z108" w:id="102"/>
    <w:p>
      <w:pPr>
        <w:spacing w:after="0"/>
        <w:ind w:left="0"/>
        <w:jc w:val="both"/>
      </w:pPr>
      <w:r>
        <w:rPr>
          <w:rFonts w:ascii="Times New Roman"/>
          <w:b w:val="false"/>
          <w:i w:val="false"/>
          <w:color w:val="000000"/>
          <w:sz w:val="28"/>
        </w:rPr>
        <w:t>
      1) мониторинг хода реализации проектов;</w:t>
      </w:r>
    </w:p>
    <w:bookmarkEnd w:id="102"/>
    <w:bookmarkStart w:name="z109" w:id="103"/>
    <w:p>
      <w:pPr>
        <w:spacing w:after="0"/>
        <w:ind w:left="0"/>
        <w:jc w:val="both"/>
      </w:pPr>
      <w:r>
        <w:rPr>
          <w:rFonts w:ascii="Times New Roman"/>
          <w:b w:val="false"/>
          <w:i w:val="false"/>
          <w:color w:val="000000"/>
          <w:sz w:val="28"/>
        </w:rPr>
        <w:t>
      2) мониторинг применения продукции казахстанских товаропроизводителей;</w:t>
      </w:r>
    </w:p>
    <w:bookmarkEnd w:id="103"/>
    <w:bookmarkStart w:name="z110" w:id="104"/>
    <w:p>
      <w:pPr>
        <w:spacing w:after="0"/>
        <w:ind w:left="0"/>
        <w:jc w:val="both"/>
      </w:pPr>
      <w:r>
        <w:rPr>
          <w:rFonts w:ascii="Times New Roman"/>
          <w:b w:val="false"/>
          <w:i w:val="false"/>
          <w:color w:val="000000"/>
          <w:sz w:val="28"/>
        </w:rPr>
        <w:t>
      3) мониторинг применяемых материалов, оборудования и технологий.</w:t>
      </w:r>
    </w:p>
    <w:bookmarkEnd w:id="104"/>
    <w:bookmarkStart w:name="z111" w:id="105"/>
    <w:p>
      <w:pPr>
        <w:spacing w:after="0"/>
        <w:ind w:left="0"/>
        <w:jc w:val="both"/>
      </w:pPr>
      <w:r>
        <w:rPr>
          <w:rFonts w:ascii="Times New Roman"/>
          <w:b w:val="false"/>
          <w:i w:val="false"/>
          <w:color w:val="000000"/>
          <w:sz w:val="28"/>
        </w:rPr>
        <w:t xml:space="preserve">
      43. В целях предоставления данных о ходе реализации Национального проекта местными исполнительными органами на ежемесячной основе обеспечивается представление информации в соответствии с формами, утвержденными в </w:t>
      </w:r>
      <w:r>
        <w:rPr>
          <w:rFonts w:ascii="Times New Roman"/>
          <w:b w:val="false"/>
          <w:i w:val="false"/>
          <w:color w:val="000000"/>
          <w:sz w:val="28"/>
        </w:rPr>
        <w:t>приложении 3</w:t>
      </w:r>
      <w:r>
        <w:rPr>
          <w:rFonts w:ascii="Times New Roman"/>
          <w:b w:val="false"/>
          <w:i w:val="false"/>
          <w:color w:val="000000"/>
          <w:sz w:val="28"/>
        </w:rPr>
        <w:t xml:space="preserve"> к Правилам. В рамках реализации процедур мониторинга технический оператор осуществляет контроль за качеством, достоверностью и своевременностью предоставляемых данных посредством электронной платформы.</w:t>
      </w:r>
    </w:p>
    <w:bookmarkEnd w:id="105"/>
    <w:bookmarkStart w:name="z112" w:id="106"/>
    <w:p>
      <w:pPr>
        <w:spacing w:after="0"/>
        <w:ind w:left="0"/>
        <w:jc w:val="both"/>
      </w:pPr>
      <w:r>
        <w:rPr>
          <w:rFonts w:ascii="Times New Roman"/>
          <w:b w:val="false"/>
          <w:i w:val="false"/>
          <w:color w:val="000000"/>
          <w:sz w:val="28"/>
        </w:rPr>
        <w:t>
      44. В случае выявления в ходе мониторинга нарушений, отклонений, а также применения некачественных или несоответствующих проекту материалов и оборудования, технический оператор составляет отчет о выявленных фактах.</w:t>
      </w:r>
    </w:p>
    <w:bookmarkEnd w:id="106"/>
    <w:bookmarkStart w:name="z113" w:id="107"/>
    <w:p>
      <w:pPr>
        <w:spacing w:after="0"/>
        <w:ind w:left="0"/>
        <w:jc w:val="both"/>
      </w:pPr>
      <w:r>
        <w:rPr>
          <w:rFonts w:ascii="Times New Roman"/>
          <w:b w:val="false"/>
          <w:i w:val="false"/>
          <w:color w:val="000000"/>
          <w:sz w:val="28"/>
        </w:rPr>
        <w:t>
      Отчет вместе с уведомлением направляется субъекту естественной монополии, местному исполнительному органу, финансовому оператору, организации, осуществляющей технический надзор, уполномоченным органам, осуществляющим руководство в соответствующих отраслях, а также размещается на электронной платформе.</w:t>
      </w:r>
    </w:p>
    <w:bookmarkEnd w:id="107"/>
    <w:bookmarkStart w:name="z114" w:id="108"/>
    <w:p>
      <w:pPr>
        <w:spacing w:after="0"/>
        <w:ind w:left="0"/>
        <w:jc w:val="both"/>
      </w:pPr>
      <w:r>
        <w:rPr>
          <w:rFonts w:ascii="Times New Roman"/>
          <w:b w:val="false"/>
          <w:i w:val="false"/>
          <w:color w:val="000000"/>
          <w:sz w:val="28"/>
        </w:rPr>
        <w:t>
      В случае воспрепятствования доступу к объекту или непредоставления субъектом естественной монополии запрашиваемой в ходе мониторинга информации, технический оператор уведомляет об этом местный исполнительный орган.</w:t>
      </w:r>
    </w:p>
    <w:bookmarkEnd w:id="108"/>
    <w:bookmarkStart w:name="z115" w:id="109"/>
    <w:p>
      <w:pPr>
        <w:spacing w:after="0"/>
        <w:ind w:left="0"/>
        <w:jc w:val="both"/>
      </w:pPr>
      <w:r>
        <w:rPr>
          <w:rFonts w:ascii="Times New Roman"/>
          <w:b w:val="false"/>
          <w:i w:val="false"/>
          <w:color w:val="000000"/>
          <w:sz w:val="28"/>
        </w:rPr>
        <w:t>
      45. Мониторинг эксплуатации проводится в течение срока гарантийной эксплуатации объекта на предмет его соответствия заявленным параметрам.</w:t>
      </w:r>
    </w:p>
    <w:bookmarkEnd w:id="109"/>
    <w:bookmarkStart w:name="z116" w:id="110"/>
    <w:p>
      <w:pPr>
        <w:spacing w:after="0"/>
        <w:ind w:left="0"/>
        <w:jc w:val="both"/>
      </w:pPr>
      <w:r>
        <w:rPr>
          <w:rFonts w:ascii="Times New Roman"/>
          <w:b w:val="false"/>
          <w:i w:val="false"/>
          <w:color w:val="000000"/>
          <w:sz w:val="28"/>
        </w:rPr>
        <w:t>
      46. По проектам, в рамках которых договорами с подрядными организациями предусматриваются этапы проектирования, строительства и последующей эксплуатации объектов, технический оператор дополнительно осуществляет мониторинг достижения ключевых показателей результата, установленных в соответствующих договорах.</w:t>
      </w:r>
    </w:p>
    <w:bookmarkEnd w:id="110"/>
    <w:bookmarkStart w:name="z117" w:id="111"/>
    <w:p>
      <w:pPr>
        <w:spacing w:after="0"/>
        <w:ind w:left="0"/>
        <w:jc w:val="both"/>
      </w:pPr>
      <w:r>
        <w:rPr>
          <w:rFonts w:ascii="Times New Roman"/>
          <w:b w:val="false"/>
          <w:i w:val="false"/>
          <w:color w:val="000000"/>
          <w:sz w:val="28"/>
        </w:rPr>
        <w:t xml:space="preserve">
      47. Заказчик проекта на ежемесячной основе предоставляет техническому оператору информацию о ходе строительства, реконструкции и модернизации систем тепло-, электро-, водоснабжения и водоотведения, подготовленную на основе данных организации, осуществляющей технический надзор, в форме отчета о ходе реализации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11"/>
    <w:bookmarkStart w:name="z118" w:id="112"/>
    <w:p>
      <w:pPr>
        <w:spacing w:after="0"/>
        <w:ind w:left="0"/>
        <w:jc w:val="both"/>
      </w:pPr>
      <w:r>
        <w:rPr>
          <w:rFonts w:ascii="Times New Roman"/>
          <w:b w:val="false"/>
          <w:i w:val="false"/>
          <w:color w:val="000000"/>
          <w:sz w:val="28"/>
        </w:rPr>
        <w:t>
      48. Информация о ходе реализации проекта предоставляется заказчиком проекта ежемесячно и по итогам за год в электронном формате или на бумажном носителе в следующие сроки:</w:t>
      </w:r>
    </w:p>
    <w:bookmarkEnd w:id="112"/>
    <w:bookmarkStart w:name="z119" w:id="113"/>
    <w:p>
      <w:pPr>
        <w:spacing w:after="0"/>
        <w:ind w:left="0"/>
        <w:jc w:val="both"/>
      </w:pPr>
      <w:r>
        <w:rPr>
          <w:rFonts w:ascii="Times New Roman"/>
          <w:b w:val="false"/>
          <w:i w:val="false"/>
          <w:color w:val="000000"/>
          <w:sz w:val="28"/>
        </w:rPr>
        <w:t>
      за отчетный месяц – не позднее 15-го числа месяца, следующего за отчетным месяцем;</w:t>
      </w:r>
    </w:p>
    <w:bookmarkEnd w:id="113"/>
    <w:bookmarkStart w:name="z120" w:id="114"/>
    <w:p>
      <w:pPr>
        <w:spacing w:after="0"/>
        <w:ind w:left="0"/>
        <w:jc w:val="both"/>
      </w:pPr>
      <w:r>
        <w:rPr>
          <w:rFonts w:ascii="Times New Roman"/>
          <w:b w:val="false"/>
          <w:i w:val="false"/>
          <w:color w:val="000000"/>
          <w:sz w:val="28"/>
        </w:rPr>
        <w:t>
      за отчетный год – не позднее 10-го февраля года, следующего за отчетным годом.</w:t>
      </w:r>
    </w:p>
    <w:bookmarkEnd w:id="114"/>
    <w:bookmarkStart w:name="z121" w:id="115"/>
    <w:p>
      <w:pPr>
        <w:spacing w:after="0"/>
        <w:ind w:left="0"/>
        <w:jc w:val="both"/>
      </w:pPr>
      <w:r>
        <w:rPr>
          <w:rFonts w:ascii="Times New Roman"/>
          <w:b w:val="false"/>
          <w:i w:val="false"/>
          <w:color w:val="000000"/>
          <w:sz w:val="28"/>
        </w:rPr>
        <w:t>
      49. Технический оператор осуществляет обработку, свод и анализ предоставленной заказчиком проекта информации о ходе реализации проекта. По итогам проведенного анализа технический оператор формирует сводный отчет о ходе реализации проекта в следующие сроки:</w:t>
      </w:r>
    </w:p>
    <w:bookmarkEnd w:id="115"/>
    <w:bookmarkStart w:name="z122" w:id="116"/>
    <w:p>
      <w:pPr>
        <w:spacing w:after="0"/>
        <w:ind w:left="0"/>
        <w:jc w:val="both"/>
      </w:pPr>
      <w:r>
        <w:rPr>
          <w:rFonts w:ascii="Times New Roman"/>
          <w:b w:val="false"/>
          <w:i w:val="false"/>
          <w:color w:val="000000"/>
          <w:sz w:val="28"/>
        </w:rPr>
        <w:t>
      за отчетный месяц – не позднее 25-го числа месяца, следующего за отчетным;</w:t>
      </w:r>
    </w:p>
    <w:bookmarkEnd w:id="116"/>
    <w:bookmarkStart w:name="z123" w:id="117"/>
    <w:p>
      <w:pPr>
        <w:spacing w:after="0"/>
        <w:ind w:left="0"/>
        <w:jc w:val="both"/>
      </w:pPr>
      <w:r>
        <w:rPr>
          <w:rFonts w:ascii="Times New Roman"/>
          <w:b w:val="false"/>
          <w:i w:val="false"/>
          <w:color w:val="000000"/>
          <w:sz w:val="28"/>
        </w:rPr>
        <w:t>
      за отчетный год – не позднее 20-го февраля года, следующего за отчетным финансовым годом.</w:t>
      </w:r>
    </w:p>
    <w:bookmarkEnd w:id="117"/>
    <w:bookmarkStart w:name="z124" w:id="118"/>
    <w:p>
      <w:pPr>
        <w:spacing w:after="0"/>
        <w:ind w:left="0"/>
        <w:jc w:val="both"/>
      </w:pPr>
      <w:r>
        <w:rPr>
          <w:rFonts w:ascii="Times New Roman"/>
          <w:b w:val="false"/>
          <w:i w:val="false"/>
          <w:color w:val="000000"/>
          <w:sz w:val="28"/>
        </w:rPr>
        <w:t>
      50. Не реже одного раза в квартал технический оператор осуществляет выезд на объекты с целью проведения визуального обследования объектов и проверки фактического хода реализации проектов.</w:t>
      </w:r>
    </w:p>
    <w:bookmarkEnd w:id="118"/>
    <w:bookmarkStart w:name="z125" w:id="119"/>
    <w:p>
      <w:pPr>
        <w:spacing w:after="0"/>
        <w:ind w:left="0"/>
        <w:jc w:val="both"/>
      </w:pPr>
      <w:r>
        <w:rPr>
          <w:rFonts w:ascii="Times New Roman"/>
          <w:b w:val="false"/>
          <w:i w:val="false"/>
          <w:color w:val="000000"/>
          <w:sz w:val="28"/>
        </w:rPr>
        <w:t>
      51. Визуальное обследование объектов и проверки фактического хода реализации проектов осуществляются с использованием средств фото и видео фиксации и иных технических средств.</w:t>
      </w:r>
    </w:p>
    <w:bookmarkEnd w:id="119"/>
    <w:bookmarkStart w:name="z126" w:id="120"/>
    <w:p>
      <w:pPr>
        <w:spacing w:after="0"/>
        <w:ind w:left="0"/>
        <w:jc w:val="both"/>
      </w:pPr>
      <w:r>
        <w:rPr>
          <w:rFonts w:ascii="Times New Roman"/>
          <w:b w:val="false"/>
          <w:i w:val="false"/>
          <w:color w:val="000000"/>
          <w:sz w:val="28"/>
        </w:rPr>
        <w:t>
      52. По итогам визуального обследования объектов и проверки фактического хода реализации проектов технический оператор в течение 5 рабочих дней составляет отчет о фактическом визуальном обследовании объекта с приложением подтверждающих фото- и видеоматериалов.</w:t>
      </w:r>
    </w:p>
    <w:bookmarkEnd w:id="120"/>
    <w:bookmarkStart w:name="z127" w:id="121"/>
    <w:p>
      <w:pPr>
        <w:spacing w:after="0"/>
        <w:ind w:left="0"/>
        <w:jc w:val="both"/>
      </w:pPr>
      <w:r>
        <w:rPr>
          <w:rFonts w:ascii="Times New Roman"/>
          <w:b w:val="false"/>
          <w:i w:val="false"/>
          <w:color w:val="000000"/>
          <w:sz w:val="28"/>
        </w:rPr>
        <w:t>
      53. В случае выявления в ходе мониторинга реализации проектов фактов, указывающих на возможное нарушение со стороны подрядной организации, техническим оператором осуществляется внеплановый выезд на объекты с целью проведения визуального обследования объекта и проверки фактического хода реализации проектов.</w:t>
      </w:r>
    </w:p>
    <w:bookmarkEnd w:id="121"/>
    <w:bookmarkStart w:name="z128" w:id="122"/>
    <w:p>
      <w:pPr>
        <w:spacing w:after="0"/>
        <w:ind w:left="0"/>
        <w:jc w:val="both"/>
      </w:pPr>
      <w:r>
        <w:rPr>
          <w:rFonts w:ascii="Times New Roman"/>
          <w:b w:val="false"/>
          <w:i w:val="false"/>
          <w:color w:val="000000"/>
          <w:sz w:val="28"/>
        </w:rPr>
        <w:t>
      54. При выездах на объекты строительства, реконструкции и модернизации систем тепло-, электро-, водоснабжения и водоотведения заказчик проекта предоставляет техническому оператору доступ к объекту и запрашиваемую им документацию.</w:t>
      </w:r>
    </w:p>
    <w:bookmarkEnd w:id="122"/>
    <w:bookmarkStart w:name="z129" w:id="123"/>
    <w:p>
      <w:pPr>
        <w:spacing w:after="0"/>
        <w:ind w:left="0"/>
        <w:jc w:val="both"/>
      </w:pPr>
      <w:r>
        <w:rPr>
          <w:rFonts w:ascii="Times New Roman"/>
          <w:b w:val="false"/>
          <w:i w:val="false"/>
          <w:color w:val="000000"/>
          <w:sz w:val="28"/>
        </w:rPr>
        <w:t xml:space="preserve">
      55. Технический оператор направляет финансовому оператору и соответствующим субъекту естественной монополии, местному исполнительному органу, а также размещает на электронной платформе сводный отчет о ходе реализации проекта и отчет о фактическом визуальном обследовании объекта по форме согласно </w:t>
      </w:r>
      <w:r>
        <w:rPr>
          <w:rFonts w:ascii="Times New Roman"/>
          <w:b w:val="false"/>
          <w:i w:val="false"/>
          <w:color w:val="000000"/>
          <w:sz w:val="28"/>
        </w:rPr>
        <w:t>приложению 3</w:t>
      </w:r>
      <w:r>
        <w:rPr>
          <w:rFonts w:ascii="Times New Roman"/>
          <w:b w:val="false"/>
          <w:i w:val="false"/>
          <w:color w:val="000000"/>
          <w:sz w:val="28"/>
        </w:rPr>
        <w:t>.</w:t>
      </w:r>
    </w:p>
    <w:bookmarkEnd w:id="123"/>
    <w:bookmarkStart w:name="z130" w:id="124"/>
    <w:p>
      <w:pPr>
        <w:spacing w:after="0"/>
        <w:ind w:left="0"/>
        <w:jc w:val="both"/>
      </w:pPr>
      <w:r>
        <w:rPr>
          <w:rFonts w:ascii="Times New Roman"/>
          <w:b w:val="false"/>
          <w:i w:val="false"/>
          <w:color w:val="000000"/>
          <w:sz w:val="28"/>
        </w:rPr>
        <w:t>
      56. Мониторинг вопросов применения продукции казахстанских товаропроизводителей осуществляется на основе анализа данных, размещаемых на электронной платформе, а также документов, подтверждающих происхождение и производство товаров казахстанского происхождения, в том числе следующих:</w:t>
      </w:r>
    </w:p>
    <w:bookmarkEnd w:id="124"/>
    <w:bookmarkStart w:name="z131" w:id="125"/>
    <w:p>
      <w:pPr>
        <w:spacing w:after="0"/>
        <w:ind w:left="0"/>
        <w:jc w:val="both"/>
      </w:pPr>
      <w:r>
        <w:rPr>
          <w:rFonts w:ascii="Times New Roman"/>
          <w:b w:val="false"/>
          <w:i w:val="false"/>
          <w:color w:val="000000"/>
          <w:sz w:val="28"/>
        </w:rPr>
        <w:t>
      1) документы, подтверждающие наличие сырьевой базы или факт приобретения сырья (в случае, если заявитель не является производителем заявленного сырья), в том числе электронные счета-фактуры, накладные, инвойсы, грузовые таможенные декларации, договоры с производителями сырья, а также справки о наличии сырья;</w:t>
      </w:r>
    </w:p>
    <w:bookmarkEnd w:id="125"/>
    <w:bookmarkStart w:name="z132" w:id="126"/>
    <w:p>
      <w:pPr>
        <w:spacing w:after="0"/>
        <w:ind w:left="0"/>
        <w:jc w:val="both"/>
      </w:pPr>
      <w:r>
        <w:rPr>
          <w:rFonts w:ascii="Times New Roman"/>
          <w:b w:val="false"/>
          <w:i w:val="false"/>
          <w:color w:val="000000"/>
          <w:sz w:val="28"/>
        </w:rPr>
        <w:t>
      2) документы, подтверждающие наличие производственной базы, включая технический паспорт или справку об отсутствии (наличии) недвижимого имущества, описание технологических операций (технологического процесса производства), перечень используемого оборудования, документы на производственные помещения, список работников с указанием должностей и (или) профессий, перечень нормативно-технических документов, в соответствии с которыми производится товар, а также сертификат качества с протоколами испытаний (при необходимости);</w:t>
      </w:r>
    </w:p>
    <w:bookmarkEnd w:id="126"/>
    <w:bookmarkStart w:name="z133" w:id="127"/>
    <w:p>
      <w:pPr>
        <w:spacing w:after="0"/>
        <w:ind w:left="0"/>
        <w:jc w:val="both"/>
      </w:pPr>
      <w:r>
        <w:rPr>
          <w:rFonts w:ascii="Times New Roman"/>
          <w:b w:val="false"/>
          <w:i w:val="false"/>
          <w:color w:val="000000"/>
          <w:sz w:val="28"/>
        </w:rPr>
        <w:t>
      3)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bookmarkEnd w:id="127"/>
    <w:bookmarkStart w:name="z134" w:id="128"/>
    <w:p>
      <w:pPr>
        <w:spacing w:after="0"/>
        <w:ind w:left="0"/>
        <w:jc w:val="both"/>
      </w:pPr>
      <w:r>
        <w:rPr>
          <w:rFonts w:ascii="Times New Roman"/>
          <w:b w:val="false"/>
          <w:i w:val="false"/>
          <w:color w:val="000000"/>
          <w:sz w:val="28"/>
        </w:rPr>
        <w:t>
      Результаты мониторинга отражаются техническим оператором в сводном отчете о ходе реализации проекта.</w:t>
      </w:r>
    </w:p>
    <w:bookmarkEnd w:id="128"/>
    <w:bookmarkStart w:name="z135" w:id="129"/>
    <w:p>
      <w:pPr>
        <w:spacing w:after="0"/>
        <w:ind w:left="0"/>
        <w:jc w:val="both"/>
      </w:pPr>
      <w:r>
        <w:rPr>
          <w:rFonts w:ascii="Times New Roman"/>
          <w:b w:val="false"/>
          <w:i w:val="false"/>
          <w:color w:val="000000"/>
          <w:sz w:val="28"/>
        </w:rPr>
        <w:t>
      57. Мониторинг применяемых материалов, оборудования и технологий осуществляется с целью недопущения использования в проектах некачественной продукции и неэффективных технологий.</w:t>
      </w:r>
    </w:p>
    <w:bookmarkEnd w:id="129"/>
    <w:bookmarkStart w:name="z136" w:id="130"/>
    <w:p>
      <w:pPr>
        <w:spacing w:after="0"/>
        <w:ind w:left="0"/>
        <w:jc w:val="both"/>
      </w:pPr>
      <w:r>
        <w:rPr>
          <w:rFonts w:ascii="Times New Roman"/>
          <w:b w:val="false"/>
          <w:i w:val="false"/>
          <w:color w:val="000000"/>
          <w:sz w:val="28"/>
        </w:rPr>
        <w:t>
      58. Мониторинг применяемых материалов, оборудования и технологий проводится в следующих случаях:</w:t>
      </w:r>
    </w:p>
    <w:bookmarkEnd w:id="130"/>
    <w:bookmarkStart w:name="z137" w:id="131"/>
    <w:p>
      <w:pPr>
        <w:spacing w:after="0"/>
        <w:ind w:left="0"/>
        <w:jc w:val="both"/>
      </w:pPr>
      <w:r>
        <w:rPr>
          <w:rFonts w:ascii="Times New Roman"/>
          <w:b w:val="false"/>
          <w:i w:val="false"/>
          <w:color w:val="000000"/>
          <w:sz w:val="28"/>
        </w:rPr>
        <w:t>
      1) выявление признаков несоответствующего качества применяемых материалов или оборудования и выполняемых работ, в том числе на основании визуального обследования объекта, внепланового выезда или документов, подтверждающих происхождение продукции;</w:t>
      </w:r>
    </w:p>
    <w:bookmarkEnd w:id="131"/>
    <w:bookmarkStart w:name="z138" w:id="132"/>
    <w:p>
      <w:pPr>
        <w:spacing w:after="0"/>
        <w:ind w:left="0"/>
        <w:jc w:val="both"/>
      </w:pPr>
      <w:r>
        <w:rPr>
          <w:rFonts w:ascii="Times New Roman"/>
          <w:b w:val="false"/>
          <w:i w:val="false"/>
          <w:color w:val="000000"/>
          <w:sz w:val="28"/>
        </w:rPr>
        <w:t>
      2) выборочная проверка качества на этапах складирования, хранения, монтажа и пуско-наладки оборудования.</w:t>
      </w:r>
    </w:p>
    <w:bookmarkEnd w:id="132"/>
    <w:bookmarkStart w:name="z139" w:id="133"/>
    <w:p>
      <w:pPr>
        <w:spacing w:after="0"/>
        <w:ind w:left="0"/>
        <w:jc w:val="both"/>
      </w:pPr>
      <w:r>
        <w:rPr>
          <w:rFonts w:ascii="Times New Roman"/>
          <w:b w:val="false"/>
          <w:i w:val="false"/>
          <w:color w:val="000000"/>
          <w:sz w:val="28"/>
        </w:rPr>
        <w:t>
      59. Мониторинг применяемых материалов, оборудования и технологий включает анализ:</w:t>
      </w:r>
    </w:p>
    <w:bookmarkEnd w:id="133"/>
    <w:bookmarkStart w:name="z140" w:id="134"/>
    <w:p>
      <w:pPr>
        <w:spacing w:after="0"/>
        <w:ind w:left="0"/>
        <w:jc w:val="both"/>
      </w:pPr>
      <w:r>
        <w:rPr>
          <w:rFonts w:ascii="Times New Roman"/>
          <w:b w:val="false"/>
          <w:i w:val="false"/>
          <w:color w:val="000000"/>
          <w:sz w:val="28"/>
        </w:rPr>
        <w:t>
      1) качества используемых материалов, сырья и условий их хранения, включая проведение независимых лабораторных испытаний на соответствие заявленным стандартам и составу;</w:t>
      </w:r>
    </w:p>
    <w:bookmarkEnd w:id="134"/>
    <w:bookmarkStart w:name="z141" w:id="135"/>
    <w:p>
      <w:pPr>
        <w:spacing w:after="0"/>
        <w:ind w:left="0"/>
        <w:jc w:val="both"/>
      </w:pPr>
      <w:r>
        <w:rPr>
          <w:rFonts w:ascii="Times New Roman"/>
          <w:b w:val="false"/>
          <w:i w:val="false"/>
          <w:color w:val="000000"/>
          <w:sz w:val="28"/>
        </w:rPr>
        <w:t>
      2) соблюдения условий хранения материалов и оборудования в соответствии с действующими нормативно-техническими документами, в том числе в области строительной климатологии;</w:t>
      </w:r>
    </w:p>
    <w:bookmarkEnd w:id="135"/>
    <w:bookmarkStart w:name="z142" w:id="136"/>
    <w:p>
      <w:pPr>
        <w:spacing w:after="0"/>
        <w:ind w:left="0"/>
        <w:jc w:val="both"/>
      </w:pPr>
      <w:r>
        <w:rPr>
          <w:rFonts w:ascii="Times New Roman"/>
          <w:b w:val="false"/>
          <w:i w:val="false"/>
          <w:color w:val="000000"/>
          <w:sz w:val="28"/>
        </w:rPr>
        <w:t>
      3) качества выполняемых работ на объекте с оформлением результатов в виде протоколов испытаний;</w:t>
      </w:r>
    </w:p>
    <w:bookmarkEnd w:id="136"/>
    <w:bookmarkStart w:name="z143" w:id="137"/>
    <w:p>
      <w:pPr>
        <w:spacing w:after="0"/>
        <w:ind w:left="0"/>
        <w:jc w:val="both"/>
      </w:pPr>
      <w:r>
        <w:rPr>
          <w:rFonts w:ascii="Times New Roman"/>
          <w:b w:val="false"/>
          <w:i w:val="false"/>
          <w:color w:val="000000"/>
          <w:sz w:val="28"/>
        </w:rPr>
        <w:t>
      4) технического состояния материалов и оборудования, выявление дефектов, повреждений и потенциальных рисков в эксплуатации.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планирования, отбора,</w:t>
            </w:r>
            <w:r>
              <w:br/>
            </w:r>
            <w:r>
              <w:rPr>
                <w:rFonts w:ascii="Times New Roman"/>
                <w:b w:val="false"/>
                <w:i w:val="false"/>
                <w:color w:val="000000"/>
                <w:sz w:val="20"/>
              </w:rPr>
              <w:t>согласования проектов, мониторинга</w:t>
            </w:r>
            <w:r>
              <w:br/>
            </w:r>
            <w:r>
              <w:rPr>
                <w:rFonts w:ascii="Times New Roman"/>
                <w:b w:val="false"/>
                <w:i w:val="false"/>
                <w:color w:val="000000"/>
                <w:sz w:val="20"/>
              </w:rPr>
              <w:t>процесса проектирования,</w:t>
            </w:r>
            <w:r>
              <w:br/>
            </w:r>
            <w:r>
              <w:rPr>
                <w:rFonts w:ascii="Times New Roman"/>
                <w:b w:val="false"/>
                <w:i w:val="false"/>
                <w:color w:val="000000"/>
                <w:sz w:val="20"/>
              </w:rPr>
              <w:t>строительства и (или) эксплуатации</w:t>
            </w:r>
            <w:r>
              <w:br/>
            </w:r>
            <w:r>
              <w:rPr>
                <w:rFonts w:ascii="Times New Roman"/>
                <w:b w:val="false"/>
                <w:i w:val="false"/>
                <w:color w:val="000000"/>
                <w:sz w:val="20"/>
              </w:rPr>
              <w:t>в сфере жилищных отношений</w:t>
            </w:r>
            <w:r>
              <w:br/>
            </w:r>
            <w:r>
              <w:rPr>
                <w:rFonts w:ascii="Times New Roman"/>
                <w:b w:val="false"/>
                <w:i w:val="false"/>
                <w:color w:val="000000"/>
                <w:sz w:val="20"/>
              </w:rPr>
              <w:t>и жилищно-коммунального хозяйства</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145" w:id="138"/>
    <w:p>
      <w:pPr>
        <w:spacing w:after="0"/>
        <w:ind w:left="0"/>
        <w:jc w:val="left"/>
      </w:pPr>
      <w:r>
        <w:rPr>
          <w:rFonts w:ascii="Times New Roman"/>
          <w:b/>
          <w:i w:val="false"/>
          <w:color w:val="000000"/>
        </w:rPr>
        <w:t xml:space="preserve"> Форма заявки Субъекта естественных монополии (далее - СЕМ) по инвестиционному проекту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1.1 "Общая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согласно Единому классификатору форм собственности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ответственные сотрудники, сопровождающие заявку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 государственный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если СЕМ входит в структуру холдинга или является организацией, подведомственной государственному органу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 или учредители (участники)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структуру владения до конечного бенефициара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контактная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бухгалтер/финансовый директор 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контактная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компаний, аффилированность 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наличие связей с другими компаниями (в том числе по рынку, технологиям, собственности)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виды деятельности, опыт работы менеджмента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основные направления деятельности СЕМ согласно уставу и свидетельству о государственной регистрации. Отразить профессиональный опыт ключевых менеджеров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сотрудников/штат (действующий)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штатная и среднесписочная численность сотрудников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тариф на услуги СЕМ и структура тарифа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Приложить копию приказа об утверждении тарифа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Приложить расчет и обосновывающие материалы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под № 19617).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Приложить расчет и обосновывающие материалы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под № 19617).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показатели за последние три года, (при наличии — подтвержденные аудиторским заключением)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валовая прибыль, EBITDA, чистая прибыль (убыток), основные средства, текущие активы, долгосрочные активы, текущие обязательства, финансовые обязательства, дебиторская задолженность, кредиторская задолженность, собственный капитал, нераспределенная прибыль (убыток), итого активов (валюта баланса)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история на дату подачи заявки с указанием валюты и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Ссудная и (или) просроченная ссудная задолженность, а также задолженность по кредитам, и другим финансовым обязательствам, по состоянию на момент подачи заявки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"Финансирование через частные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Отметить при наличии долевого участия частного инвестора с кратким описанием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отчисления и другие обязательные платежи в бюджет Республики Казахстан за последние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выписки из лицевого счета налогоплательщика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и уровень абонентской базы СЕМ (потребителей), формирующих доходную часть, в количественном выражении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абонентов, количество абонентов по категориям, общая численность населения в населенном пункте, абонентская база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потребления (в целом и по категориям абонентов) в натуральном и денежном выражении за последние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потребления за последний год, потребление по категориям абонентов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фактических потерь по оказываемой услуге в натуральном и стоимостном выражении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рассчитывается как разница между объемом произведенных услуг и объемом реализованных услуг по договорам (с учетом нормативных потерь, несанкционированного потребления и ошибок учета) с пояснениями причин потерь и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ПУ, в том числе обеспечивающими дистанционную передачу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текущий уровень приборизации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автоматизации производственных процессов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Описать текущий уровень автоматизации предприятия с приложением подтверждающих документов (акты ввода в эксплуатацию интеллектуальных информационных систем по учету, управлению и мониторингу водных и энергетических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Градостроительная документация (генеральные планы населенных пунктов, проекты детальной планировки, проекты планировки промышленной зоны, проекты застройки, иные планировочные проекты)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Приложить копии утвержденных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Актуализированные отраслевые схемы населенного пункта, утвержденные в установленном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документов:</w:t>
            </w:r>
          </w:p>
          <w:p>
            <w:pPr>
              <w:spacing w:after="20"/>
              <w:ind w:left="20"/>
              <w:jc w:val="both"/>
            </w:pPr>
            <w:r>
              <w:rPr>
                <w:rFonts w:ascii="Times New Roman"/>
                <w:b w:val="false"/>
                <w:i w:val="false"/>
                <w:color w:val="000000"/>
                <w:sz w:val="20"/>
              </w:rPr>
              <w:t>
для водоснабжения и водоотведения — план развития систем водоснабжения и водоотведения на срок не менее 10 лет;</w:t>
            </w:r>
          </w:p>
          <w:p>
            <w:pPr>
              <w:spacing w:after="20"/>
              <w:ind w:left="20"/>
              <w:jc w:val="both"/>
            </w:pPr>
            <w:r>
              <w:rPr>
                <w:rFonts w:ascii="Times New Roman"/>
                <w:b w:val="false"/>
                <w:i w:val="false"/>
                <w:color w:val="000000"/>
                <w:sz w:val="20"/>
              </w:rPr>
              <w:t>
для теплоснабжения — схема развития систем теплоснабжения с учетом особенностей территории;</w:t>
            </w:r>
          </w:p>
          <w:p>
            <w:pPr>
              <w:spacing w:after="20"/>
              <w:ind w:left="20"/>
              <w:jc w:val="both"/>
            </w:pPr>
            <w:r>
              <w:rPr>
                <w:rFonts w:ascii="Times New Roman"/>
                <w:b w:val="false"/>
                <w:i w:val="false"/>
                <w:color w:val="000000"/>
                <w:sz w:val="20"/>
              </w:rPr>
              <w:t>
для электроэнергетики — перспективные планы развития электрических сетей региона.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план социально-экономического развития соответствующей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Приложить копии утвержденных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которые субъект естественной монополии считает необходимыми для подтверждения обоснованности и целесообразности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1.2 "Информация по проекту"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название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 сформулировать основную цель реализации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сути проекта: вид работ, масштаб, технический объем, ключевые компоненты в свободной форме.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одна из отраслей: водоснабжение, водоотведение, теплоснабжение, электроснабжение.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Уточняется направление проекта в пределах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конкретный тип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на основе расчетной стоимости строительства "под ключ" с использованием укрупненных показателей стоимости строительства на единицу измерения показателя мощности объектов, протяженности линейного сооружения или других технических характеристик, либо на основании действующей проектно-сметной документации или технико-экономического обоснования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привлечения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Отметить цели проекта: создание нового объекта, расширение действующих объектов, модернизация существующих объектов, включая приборизацию и автоматизацию производственных 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причины, по которым проект необходим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населенный пункт, административная единица, район, координаты и (или) кадастровые номера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"Агломерация"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Отмечается в случае, если проект реализуется в пределах агломерации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планируемый календарный период реализации проекта (начало и завершение)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социально-экономической значимости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влияние проекта на население, бизнес, бюджетные организации; формулируются ожидаемые социальные и экономические эффекты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и технологические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ключевые параметры, в том числе: мощность сооружений, длина сетей, количество подключаемых объектов, тип оборудования и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обеспечении объектами инженерной и транспортной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наличие подключения к инженерным системам, транспортной инфраструктуре и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на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Приложить государственный акт на право землепользования/собственности, либо выписку из кадастра, включая номер и дату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Ретроспектива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Описать историю эксплуатации объекта: дата ввода в эксплуатацию, модернизации, реконструкции, техобследования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текущего состояния объекта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текущего состояния, износ (бухгалтерский и физический), аварии, отказы, технологические нарушения и т.д.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текущего состояния планируемого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текущего состояния, износ (бухгалтерский и физический), аварии, технологические нарушения и т.д.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технического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Приложить подтверждающий документ (экспертное заключение по техническому обследованию надежности и устойчивости зданий и сооружений и (или) заключение технического аудита централизованных систем водоснабжения и водоотведения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элементов систем автоматизированного управления и (или) приборов учета с дистанционной передачей данных на планируемом участке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элементов систем автоматизированного управления и (или) приборов учета с дистанционной передачей данных на планируемом участке проекта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ГПЗ и ПСД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Отметить наличие ГПЗ и ПСД; при наличии указать дату, номер, приложить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комплексной вневедомственной экспертизы (при наличии) и дата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точная дата, соответствующая приложенному заключению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заключения комплексной вневедомственной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срок действия заключения согласно нормативам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собственности, земельного участка 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форму владения участком: государственная собственность, аренда, частное владение. Приложить правоустанавливающие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обязательств по проекту (по ранее выполненным услугам и (или) работам по планируемому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наличие уже заключенных договоров, обязательств по разработке ТЭО, ПСД, выполнению СМР, с указанием контрагентов и сроков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залогового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Вручную вводится описание обеспечения по проекту. Максимальная длина – 1000 символов.</w:t>
            </w:r>
          </w:p>
        </w:tc>
      </w:tr>
    </w:tbl>
    <w:p>
      <w:pPr>
        <w:spacing w:after="0"/>
        <w:ind w:left="0"/>
        <w:jc w:val="both"/>
      </w:pPr>
      <w:bookmarkStart w:name="z149" w:id="139"/>
      <w:r>
        <w:rPr>
          <w:rFonts w:ascii="Times New Roman"/>
          <w:b w:val="false"/>
          <w:i w:val="false"/>
          <w:color w:val="000000"/>
          <w:sz w:val="28"/>
        </w:rPr>
        <w:t>
      В настоящей форме заявки используются следующие сокращения:</w:t>
      </w:r>
    </w:p>
    <w:bookmarkEnd w:id="13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ГПЗ — градостроительное планировочное задание;</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ПСД — проектно-сметная документация;</w:t>
      </w:r>
    </w:p>
    <w:p>
      <w:pPr>
        <w:spacing w:after="0"/>
        <w:ind w:left="0"/>
        <w:jc w:val="both"/>
      </w:pPr>
      <w:r>
        <w:rPr>
          <w:rFonts w:ascii="Times New Roman"/>
          <w:b w:val="false"/>
          <w:i w:val="false"/>
          <w:color w:val="000000"/>
          <w:sz w:val="28"/>
        </w:rPr>
        <w:t>ПУ — прибор(ы) учета;</w:t>
      </w:r>
    </w:p>
    <w:p>
      <w:pPr>
        <w:spacing w:after="0"/>
        <w:ind w:left="0"/>
        <w:jc w:val="both"/>
      </w:pPr>
      <w:r>
        <w:rPr>
          <w:rFonts w:ascii="Times New Roman"/>
          <w:b w:val="false"/>
          <w:i w:val="false"/>
          <w:color w:val="000000"/>
          <w:sz w:val="28"/>
        </w:rPr>
        <w:t>СЕМ — субъект естественной монополии;</w:t>
      </w:r>
    </w:p>
    <w:p>
      <w:pPr>
        <w:spacing w:after="0"/>
        <w:ind w:left="0"/>
        <w:jc w:val="both"/>
      </w:pPr>
      <w:r>
        <w:rPr>
          <w:rFonts w:ascii="Times New Roman"/>
          <w:b w:val="false"/>
          <w:i w:val="false"/>
          <w:color w:val="000000"/>
          <w:sz w:val="28"/>
        </w:rPr>
        <w:t>СМР — строительно-монтажные работы;</w:t>
      </w:r>
    </w:p>
    <w:p>
      <w:pPr>
        <w:spacing w:after="0"/>
        <w:ind w:left="0"/>
        <w:jc w:val="both"/>
      </w:pPr>
      <w:r>
        <w:rPr>
          <w:rFonts w:ascii="Times New Roman"/>
          <w:b w:val="false"/>
          <w:i w:val="false"/>
          <w:color w:val="000000"/>
          <w:sz w:val="28"/>
        </w:rPr>
        <w:t>EBITDA — прибыль до вычета процентов, налогов и амортизации (Earnings Before Interest, Taxes, Depreciation and Amortization).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заявки субъекта</w:t>
            </w:r>
            <w:r>
              <w:br/>
            </w:r>
            <w:r>
              <w:rPr>
                <w:rFonts w:ascii="Times New Roman"/>
                <w:b w:val="false"/>
                <w:i w:val="false"/>
                <w:color w:val="000000"/>
                <w:sz w:val="20"/>
              </w:rPr>
              <w:t>естественных монополии</w:t>
            </w:r>
            <w:r>
              <w:br/>
            </w:r>
            <w:r>
              <w:rPr>
                <w:rFonts w:ascii="Times New Roman"/>
                <w:b w:val="false"/>
                <w:i w:val="false"/>
                <w:color w:val="000000"/>
                <w:sz w:val="20"/>
              </w:rPr>
              <w:t>по проекту</w:t>
            </w:r>
          </w:p>
        </w:tc>
      </w:tr>
    </w:tbl>
    <w:bookmarkStart w:name="z151" w:id="140"/>
    <w:p>
      <w:pPr>
        <w:spacing w:after="0"/>
        <w:ind w:left="0"/>
        <w:jc w:val="left"/>
      </w:pPr>
      <w:r>
        <w:rPr>
          <w:rFonts w:ascii="Times New Roman"/>
          <w:b/>
          <w:i w:val="false"/>
          <w:color w:val="000000"/>
        </w:rPr>
        <w:t xml:space="preserve"> Содержание пояснительной записки</w:t>
      </w:r>
    </w:p>
    <w:bookmarkEnd w:id="140"/>
    <w:bookmarkStart w:name="z152" w:id="141"/>
    <w:p>
      <w:pPr>
        <w:spacing w:after="0"/>
        <w:ind w:left="0"/>
        <w:jc w:val="both"/>
      </w:pPr>
      <w:r>
        <w:rPr>
          <w:rFonts w:ascii="Times New Roman"/>
          <w:b w:val="false"/>
          <w:i w:val="false"/>
          <w:color w:val="000000"/>
          <w:sz w:val="28"/>
        </w:rPr>
        <w:t>
      1) Предварительные расчетные данные по проекту, включая предварительные расчеты параметров или производительности проектируемых объектов, выполненные с учетом перспективного развития территории и численности населения, включая прогнозируемые нагрузки на инженерную инфраструктуру;</w:t>
      </w:r>
    </w:p>
    <w:bookmarkEnd w:id="141"/>
    <w:bookmarkStart w:name="z153" w:id="142"/>
    <w:p>
      <w:pPr>
        <w:spacing w:after="0"/>
        <w:ind w:left="0"/>
        <w:jc w:val="both"/>
      </w:pPr>
      <w:r>
        <w:rPr>
          <w:rFonts w:ascii="Times New Roman"/>
          <w:b w:val="false"/>
          <w:i w:val="false"/>
          <w:color w:val="000000"/>
          <w:sz w:val="28"/>
        </w:rPr>
        <w:t>
      2) Сведения о текущем техническом состоянии зданий и оборудования, включая уровень физического износа, технических потерь, информацию об авариях, отказах и технологических нарушениях;</w:t>
      </w:r>
    </w:p>
    <w:bookmarkEnd w:id="142"/>
    <w:bookmarkStart w:name="z154" w:id="143"/>
    <w:p>
      <w:pPr>
        <w:spacing w:after="0"/>
        <w:ind w:left="0"/>
        <w:jc w:val="both"/>
      </w:pPr>
      <w:r>
        <w:rPr>
          <w:rFonts w:ascii="Times New Roman"/>
          <w:b w:val="false"/>
          <w:i w:val="false"/>
          <w:color w:val="000000"/>
          <w:sz w:val="28"/>
        </w:rPr>
        <w:t>
      3) Показатели охвата населения тепло-, электро-, водоснабжением и водоотведением, обеспечиваемые в рамках проекта;</w:t>
      </w:r>
    </w:p>
    <w:bookmarkEnd w:id="143"/>
    <w:bookmarkStart w:name="z155" w:id="144"/>
    <w:p>
      <w:pPr>
        <w:spacing w:after="0"/>
        <w:ind w:left="0"/>
        <w:jc w:val="both"/>
      </w:pPr>
      <w:r>
        <w:rPr>
          <w:rFonts w:ascii="Times New Roman"/>
          <w:b w:val="false"/>
          <w:i w:val="false"/>
          <w:color w:val="000000"/>
          <w:sz w:val="28"/>
        </w:rPr>
        <w:t>
      4) Сведения о производственных предприятиях, бюджетных организациях и других объектах, планируемых к подключению к системам тепло-, электро-, водоснабжения и водоотведения в рамках проекта;</w:t>
      </w:r>
    </w:p>
    <w:bookmarkEnd w:id="144"/>
    <w:bookmarkStart w:name="z156" w:id="145"/>
    <w:p>
      <w:pPr>
        <w:spacing w:after="0"/>
        <w:ind w:left="0"/>
        <w:jc w:val="both"/>
      </w:pPr>
      <w:r>
        <w:rPr>
          <w:rFonts w:ascii="Times New Roman"/>
          <w:b w:val="false"/>
          <w:i w:val="false"/>
          <w:color w:val="000000"/>
          <w:sz w:val="28"/>
        </w:rPr>
        <w:t>
      5) Данные и параметры существующей системы учета, мониторинга и управления процессами тепло-, электро-, водоснабжения и водоотведения.</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заявки субъекта</w:t>
            </w:r>
            <w:r>
              <w:br/>
            </w:r>
            <w:r>
              <w:rPr>
                <w:rFonts w:ascii="Times New Roman"/>
                <w:b w:val="false"/>
                <w:i w:val="false"/>
                <w:color w:val="000000"/>
                <w:sz w:val="20"/>
              </w:rPr>
              <w:t>естественных монополии</w:t>
            </w:r>
            <w:r>
              <w:br/>
            </w:r>
            <w:r>
              <w:rPr>
                <w:rFonts w:ascii="Times New Roman"/>
                <w:b w:val="false"/>
                <w:i w:val="false"/>
                <w:color w:val="000000"/>
                <w:sz w:val="20"/>
              </w:rPr>
              <w:t>по проекту</w:t>
            </w:r>
          </w:p>
        </w:tc>
      </w:tr>
    </w:tbl>
    <w:bookmarkStart w:name="z158" w:id="146"/>
    <w:p>
      <w:pPr>
        <w:spacing w:after="0"/>
        <w:ind w:left="0"/>
        <w:jc w:val="left"/>
      </w:pPr>
      <w:r>
        <w:rPr>
          <w:rFonts w:ascii="Times New Roman"/>
          <w:b/>
          <w:i w:val="false"/>
          <w:color w:val="000000"/>
        </w:rPr>
        <w:t xml:space="preserve"> Таблица предлагаемых уровней тарифов*</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7"/>
    <w:p>
      <w:pPr>
        <w:spacing w:after="0"/>
        <w:ind w:left="0"/>
        <w:jc w:val="both"/>
      </w:pPr>
      <w:r>
        <w:rPr>
          <w:rFonts w:ascii="Times New Roman"/>
          <w:b w:val="false"/>
          <w:i w:val="false"/>
          <w:color w:val="000000"/>
          <w:sz w:val="28"/>
        </w:rPr>
        <w:t>
      * Таблица заполняется на каждый год за весь период исполнения обязательств субъектом естественной монополии по возврату полученных средств в рамках определенного финансовым оператором механизма финансирования</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w:t>
            </w:r>
            <w:r>
              <w:br/>
            </w:r>
            <w:r>
              <w:rPr>
                <w:rFonts w:ascii="Times New Roman"/>
                <w:b w:val="false"/>
                <w:i w:val="false"/>
                <w:color w:val="000000"/>
                <w:sz w:val="20"/>
              </w:rPr>
              <w:t>отбора, согласования проектов,</w:t>
            </w:r>
            <w:r>
              <w:br/>
            </w:r>
            <w:r>
              <w:rPr>
                <w:rFonts w:ascii="Times New Roman"/>
                <w:b w:val="false"/>
                <w:i w:val="false"/>
                <w:color w:val="000000"/>
                <w:sz w:val="20"/>
              </w:rPr>
              <w:t>мониторинга процесса</w:t>
            </w:r>
            <w:r>
              <w:br/>
            </w:r>
            <w:r>
              <w:rPr>
                <w:rFonts w:ascii="Times New Roman"/>
                <w:b w:val="false"/>
                <w:i w:val="false"/>
                <w:color w:val="000000"/>
                <w:sz w:val="20"/>
              </w:rPr>
              <w:t>проектирования, строительства</w:t>
            </w:r>
            <w:r>
              <w:br/>
            </w:r>
            <w:r>
              <w:rPr>
                <w:rFonts w:ascii="Times New Roman"/>
                <w:b w:val="false"/>
                <w:i w:val="false"/>
                <w:color w:val="000000"/>
                <w:sz w:val="20"/>
              </w:rPr>
              <w:t>и (или) эксплуатации в сфере</w:t>
            </w:r>
            <w:r>
              <w:br/>
            </w:r>
            <w:r>
              <w:rPr>
                <w:rFonts w:ascii="Times New Roman"/>
                <w:b w:val="false"/>
                <w:i w:val="false"/>
                <w:color w:val="000000"/>
                <w:sz w:val="20"/>
              </w:rPr>
              <w:t>жилищных отношений</w:t>
            </w:r>
            <w:r>
              <w:br/>
            </w:r>
            <w:r>
              <w:rPr>
                <w:rFonts w:ascii="Times New Roman"/>
                <w:b w:val="false"/>
                <w:i w:val="false"/>
                <w:color w:val="000000"/>
                <w:sz w:val="20"/>
              </w:rPr>
              <w:t>и жилищно-коммунального</w:t>
            </w:r>
            <w:r>
              <w:br/>
            </w:r>
            <w:r>
              <w:rPr>
                <w:rFonts w:ascii="Times New Roman"/>
                <w:b w:val="false"/>
                <w:i w:val="false"/>
                <w:color w:val="000000"/>
                <w:sz w:val="20"/>
              </w:rPr>
              <w:t>хозяйства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161" w:id="148"/>
    <w:p>
      <w:pPr>
        <w:spacing w:after="0"/>
        <w:ind w:left="0"/>
        <w:jc w:val="left"/>
      </w:pPr>
      <w:r>
        <w:rPr>
          <w:rFonts w:ascii="Times New Roman"/>
          <w:b/>
          <w:i w:val="false"/>
          <w:color w:val="000000"/>
        </w:rPr>
        <w:t xml:space="preserve"> Комплексная балльная оценка инвестиционного проекта</w:t>
      </w:r>
    </w:p>
    <w:bookmarkEnd w:id="148"/>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06.02.2026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 По проектам реконструкции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инфраструктуры в целом (оборудования/сети)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обследовании, технический аудит или справка о классификации СЕМ по группам риска в зависимости от степени изношенности оборудования и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55% до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оборудования / сетей подлежащего к реконструкции участка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76%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обследовании, технический аудит, дефектный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 лет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объектов (оборудования), справка СЕМ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лет до 25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нарушений на реконструируемом участке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аварий или технологических нарушений, повлекших отключение коммунальных услуг за последний год, либо эксплуатация оборудования и (или) сетей с постоянными нарушениями технологического режима в течение не менее 80% общего времени эксплуатации за последний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журнала регистрации аварийных ситуаций, отчет о техническом обследовании, технический аудит и (или) отчетность о технологических нарушениях на реконструируемом участке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аварий или технологических нарушений, повлекших отключение коммунальных услуг за последний год, либо эксплуатация оборудования и (или) сетей с периодическими нарушениями технологического режима в течение не менее 50% общего времени эксплуатации за последний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аварии или технологических нарушений, повлекшие отключения коммунальных услуг за последний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база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социальных объектов и объектов производства с непрерывным циклом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по абонентской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предусмотрено расширение абонентской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 расширение абонентской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технологий, оборудования при реконструкции, приводящие к оптимизации финансовых и энергетических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основных технических и технологических характеристиках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автоматизации и цифровизации, приборизации систем для автоматизированного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программно-аппаратного комплекса (информационно – измерительной системы (ИИС), автоматизированной системы управления технологическим процессом (АСУТП), автоматизированная система коммерческого управления электроэнергии (АСКУЭ), геоинформационной системы (ГИС), приборизации (средства измерений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текущей ситуации по автоматизации производственных процессов,</w:t>
            </w:r>
          </w:p>
          <w:p>
            <w:pPr>
              <w:spacing w:after="20"/>
              <w:ind w:left="20"/>
              <w:jc w:val="both"/>
            </w:pPr>
            <w:r>
              <w:rPr>
                <w:rFonts w:ascii="Times New Roman"/>
                <w:b w:val="false"/>
                <w:i w:val="false"/>
                <w:color w:val="000000"/>
                <w:sz w:val="20"/>
              </w:rPr>
              <w:t>
паспорт,</w:t>
            </w:r>
          </w:p>
          <w:p>
            <w:pPr>
              <w:spacing w:after="20"/>
              <w:ind w:left="20"/>
              <w:jc w:val="both"/>
            </w:pPr>
            <w:r>
              <w:rPr>
                <w:rFonts w:ascii="Times New Roman"/>
                <w:b w:val="false"/>
                <w:i w:val="false"/>
                <w:color w:val="000000"/>
                <w:sz w:val="20"/>
              </w:rPr>
              <w:t>
акт ввода в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одного из элементов программно-аппаратного комплекса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и оптимизация расхода водных и энергетических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 По проектам строительства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инфраструктуры в целом (оборудования/сети)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обследовании, технический аудит или справка о классификации СЕМ по группам риска в зависимости от степени изношенности оборудования и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55% до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база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социальных объектов и объектов производства с непрерывным циклом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по абонентской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предусмотрено расширение абонентской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 расширение абонентской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современных технологий, оборудования при строительстве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основных технических и технологических характеристиках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автоматизации и цифровизации, приборизации систем для автоматизированного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программно-аппаратного комплекса (информационно – измерительной системы (ИИС), автоматизированной системы управления технологическим процессом (АСУТП), автоматизированная система коммерческого управления электроэнергии (АСКУЭ), геоинформационной системы (ГИС), приборизации (средства измерений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текущей ситуации по автоматизации производственных процессов,</w:t>
            </w:r>
          </w:p>
          <w:p>
            <w:pPr>
              <w:spacing w:after="20"/>
              <w:ind w:left="20"/>
              <w:jc w:val="both"/>
            </w:pPr>
            <w:r>
              <w:rPr>
                <w:rFonts w:ascii="Times New Roman"/>
                <w:b w:val="false"/>
                <w:i w:val="false"/>
                <w:color w:val="000000"/>
                <w:sz w:val="20"/>
              </w:rPr>
              <w:t>
паспорт,</w:t>
            </w:r>
          </w:p>
          <w:p>
            <w:pPr>
              <w:spacing w:after="20"/>
              <w:ind w:left="20"/>
              <w:jc w:val="both"/>
            </w:pPr>
            <w:r>
              <w:rPr>
                <w:rFonts w:ascii="Times New Roman"/>
                <w:b w:val="false"/>
                <w:i w:val="false"/>
                <w:color w:val="000000"/>
                <w:sz w:val="20"/>
              </w:rPr>
              <w:t>
акт ввода в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одного из элементов программно-аппаратного комплекса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потребности в коммунальных услугах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предусмотрен документами территориального планирования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Градостроительная документация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не предусмотрен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мощностей для обеспечения населения и (или) социально значимых объектов качественными коммунальными услугами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обоснования необеспечения населения и (или) социально значимых объектов качественными коммунальными услугами при отсутствии реализации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развития инженерной инфраструктуры, расчеты нагрузок и (или) градостроительная документация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 По проектам приборизации, автоматизации и цифровизациии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инфраструктуры в целом (оборудования/сети)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обследовании, технический аудит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55% до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автоматизации и цифровизации систем для автоматизированного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программно-аппаратного комплекса (информационно – измерительной системы (ИИС), автоматизированной системы управления технологическим процессом (АСУТП), автоматизированная система коммерческого управления электроэнергии (АСКУЭ), геоинформационной системы (ГИС), приборизации (средства измерений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текущей ситуации по автоматизации производственных процессов,</w:t>
            </w:r>
          </w:p>
          <w:p>
            <w:pPr>
              <w:spacing w:after="20"/>
              <w:ind w:left="20"/>
              <w:jc w:val="both"/>
            </w:pPr>
            <w:r>
              <w:rPr>
                <w:rFonts w:ascii="Times New Roman"/>
                <w:b w:val="false"/>
                <w:i w:val="false"/>
                <w:color w:val="000000"/>
                <w:sz w:val="20"/>
              </w:rPr>
              <w:t>
паспорт,</w:t>
            </w:r>
          </w:p>
          <w:p>
            <w:pPr>
              <w:spacing w:after="20"/>
              <w:ind w:left="20"/>
              <w:jc w:val="both"/>
            </w:pPr>
            <w:r>
              <w:rPr>
                <w:rFonts w:ascii="Times New Roman"/>
                <w:b w:val="false"/>
                <w:i w:val="false"/>
                <w:color w:val="000000"/>
                <w:sz w:val="20"/>
              </w:rPr>
              <w:t>
акт ввода в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одного из элементов программно-аппаратного комплекса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Приборизация на системах с учетом ведения производственного и коммерческого учетов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автоматизированной системы управления технологическим процессом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текущей ситуации по установке ПУ с дистанционной передачей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приборов учета с дистанционной передачей данных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и оптимизация расхода водных и энергетических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Централизация, диспетчеризация и интеграция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Проектом предусмотрена централизация, диспетчеризация и интеграция данных в единую систему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целевой архитектуре системы, техническое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предусмотрены отдельные элементы диспетчеризации и (или) интеграции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w:t>
            </w:r>
            <w:r>
              <w:br/>
            </w:r>
            <w:r>
              <w:rPr>
                <w:rFonts w:ascii="Times New Roman"/>
                <w:b w:val="false"/>
                <w:i w:val="false"/>
                <w:color w:val="000000"/>
                <w:sz w:val="20"/>
              </w:rPr>
              <w:t>отбора, согласования проектов,</w:t>
            </w:r>
            <w:r>
              <w:br/>
            </w:r>
            <w:r>
              <w:rPr>
                <w:rFonts w:ascii="Times New Roman"/>
                <w:b w:val="false"/>
                <w:i w:val="false"/>
                <w:color w:val="000000"/>
                <w:sz w:val="20"/>
              </w:rPr>
              <w:t>мониторинга процесса</w:t>
            </w:r>
            <w:r>
              <w:br/>
            </w:r>
            <w:r>
              <w:rPr>
                <w:rFonts w:ascii="Times New Roman"/>
                <w:b w:val="false"/>
                <w:i w:val="false"/>
                <w:color w:val="000000"/>
                <w:sz w:val="20"/>
              </w:rPr>
              <w:t>проектирования, строительства</w:t>
            </w:r>
            <w:r>
              <w:br/>
            </w:r>
            <w:r>
              <w:rPr>
                <w:rFonts w:ascii="Times New Roman"/>
                <w:b w:val="false"/>
                <w:i w:val="false"/>
                <w:color w:val="000000"/>
                <w:sz w:val="20"/>
              </w:rPr>
              <w:t>и (или) эксплуатации в сфере</w:t>
            </w:r>
            <w:r>
              <w:br/>
            </w:r>
            <w:r>
              <w:rPr>
                <w:rFonts w:ascii="Times New Roman"/>
                <w:b w:val="false"/>
                <w:i w:val="false"/>
                <w:color w:val="000000"/>
                <w:sz w:val="20"/>
              </w:rPr>
              <w:t>жилищных отношений</w:t>
            </w:r>
            <w:r>
              <w:br/>
            </w:r>
            <w:r>
              <w:rPr>
                <w:rFonts w:ascii="Times New Roman"/>
                <w:b w:val="false"/>
                <w:i w:val="false"/>
                <w:color w:val="000000"/>
                <w:sz w:val="20"/>
              </w:rPr>
              <w:t>и жилищно-коммунального</w:t>
            </w:r>
            <w:r>
              <w:br/>
            </w:r>
            <w:r>
              <w:rPr>
                <w:rFonts w:ascii="Times New Roman"/>
                <w:b w:val="false"/>
                <w:i w:val="false"/>
                <w:color w:val="000000"/>
                <w:sz w:val="20"/>
              </w:rPr>
              <w:t>хозяйства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163" w:id="149"/>
    <w:p>
      <w:pPr>
        <w:spacing w:after="0"/>
        <w:ind w:left="0"/>
        <w:jc w:val="left"/>
      </w:pPr>
      <w:r>
        <w:rPr>
          <w:rFonts w:ascii="Times New Roman"/>
          <w:b/>
          <w:i w:val="false"/>
          <w:color w:val="000000"/>
        </w:rPr>
        <w:t xml:space="preserve"> Форма "Информация о ходе реализации проекта"</w:t>
      </w:r>
    </w:p>
    <w:bookmarkEnd w:id="149"/>
    <w:bookmarkStart w:name="z164" w:id="150"/>
    <w:p>
      <w:pPr>
        <w:spacing w:after="0"/>
        <w:ind w:left="0"/>
        <w:jc w:val="both"/>
      </w:pPr>
      <w:r>
        <w:rPr>
          <w:rFonts w:ascii="Times New Roman"/>
          <w:b w:val="false"/>
          <w:i w:val="false"/>
          <w:color w:val="000000"/>
          <w:sz w:val="28"/>
        </w:rPr>
        <w:t>
      1. Наименование СЕМ:</w:t>
      </w:r>
    </w:p>
    <w:bookmarkEnd w:id="150"/>
    <w:bookmarkStart w:name="z165" w:id="151"/>
    <w:p>
      <w:pPr>
        <w:spacing w:after="0"/>
        <w:ind w:left="0"/>
        <w:jc w:val="both"/>
      </w:pPr>
      <w:r>
        <w:rPr>
          <w:rFonts w:ascii="Times New Roman"/>
          <w:b w:val="false"/>
          <w:i w:val="false"/>
          <w:color w:val="000000"/>
          <w:sz w:val="28"/>
        </w:rPr>
        <w:t>
      2. Наименование проекта:</w:t>
      </w:r>
    </w:p>
    <w:bookmarkEnd w:id="151"/>
    <w:bookmarkStart w:name="z166" w:id="152"/>
    <w:p>
      <w:pPr>
        <w:spacing w:after="0"/>
        <w:ind w:left="0"/>
        <w:jc w:val="both"/>
      </w:pPr>
      <w:r>
        <w:rPr>
          <w:rFonts w:ascii="Times New Roman"/>
          <w:b w:val="false"/>
          <w:i w:val="false"/>
          <w:color w:val="000000"/>
          <w:sz w:val="28"/>
        </w:rPr>
        <w:t>
      3. Отчетный период: с " " __________ 20__ г. по " " __________ 20__ г.</w:t>
      </w:r>
    </w:p>
    <w:bookmarkEnd w:id="152"/>
    <w:bookmarkStart w:name="z167" w:id="153"/>
    <w:p>
      <w:pPr>
        <w:spacing w:after="0"/>
        <w:ind w:left="0"/>
        <w:jc w:val="both"/>
      </w:pPr>
      <w:r>
        <w:rPr>
          <w:rFonts w:ascii="Times New Roman"/>
          <w:b w:val="false"/>
          <w:i w:val="false"/>
          <w:color w:val="000000"/>
          <w:sz w:val="28"/>
        </w:rPr>
        <w:t>
      4. Дата начала реализации проекта:</w:t>
      </w:r>
    </w:p>
    <w:bookmarkEnd w:id="153"/>
    <w:bookmarkStart w:name="z168" w:id="154"/>
    <w:p>
      <w:pPr>
        <w:spacing w:after="0"/>
        <w:ind w:left="0"/>
        <w:jc w:val="both"/>
      </w:pPr>
      <w:r>
        <w:rPr>
          <w:rFonts w:ascii="Times New Roman"/>
          <w:b w:val="false"/>
          <w:i w:val="false"/>
          <w:color w:val="000000"/>
          <w:sz w:val="28"/>
        </w:rPr>
        <w:t>
      5. Плановая дата завершения проекта:</w:t>
      </w:r>
    </w:p>
    <w:bookmarkEnd w:id="154"/>
    <w:bookmarkStart w:name="z169" w:id="155"/>
    <w:p>
      <w:pPr>
        <w:spacing w:after="0"/>
        <w:ind w:left="0"/>
        <w:jc w:val="both"/>
      </w:pPr>
      <w:r>
        <w:rPr>
          <w:rFonts w:ascii="Times New Roman"/>
          <w:b w:val="false"/>
          <w:i w:val="false"/>
          <w:color w:val="000000"/>
          <w:sz w:val="28"/>
        </w:rPr>
        <w:t>
      6. Сметная стоимость строительства, тысяч тенге:</w:t>
      </w:r>
    </w:p>
    <w:bookmarkEnd w:id="155"/>
    <w:bookmarkStart w:name="z170" w:id="156"/>
    <w:p>
      <w:pPr>
        <w:spacing w:after="0"/>
        <w:ind w:left="0"/>
        <w:jc w:val="both"/>
      </w:pPr>
      <w:r>
        <w:rPr>
          <w:rFonts w:ascii="Times New Roman"/>
          <w:b w:val="false"/>
          <w:i w:val="false"/>
          <w:color w:val="000000"/>
          <w:sz w:val="28"/>
        </w:rPr>
        <w:t>
      7. Объем освоения на отчетную дату, тыс. тенге:</w:t>
      </w:r>
    </w:p>
    <w:bookmarkEnd w:id="156"/>
    <w:bookmarkStart w:name="z171" w:id="157"/>
    <w:p>
      <w:pPr>
        <w:spacing w:after="0"/>
        <w:ind w:left="0"/>
        <w:jc w:val="both"/>
      </w:pPr>
      <w:r>
        <w:rPr>
          <w:rFonts w:ascii="Times New Roman"/>
          <w:b w:val="false"/>
          <w:i w:val="false"/>
          <w:color w:val="000000"/>
          <w:sz w:val="28"/>
        </w:rPr>
        <w:t>
      8. Исполнитель (ФИО, должность контактная информация):</w:t>
      </w:r>
    </w:p>
    <w:bookmarkEnd w:id="157"/>
    <w:bookmarkStart w:name="z172" w:id="158"/>
    <w:p>
      <w:pPr>
        <w:spacing w:after="0"/>
        <w:ind w:left="0"/>
        <w:jc w:val="both"/>
      </w:pPr>
      <w:r>
        <w:rPr>
          <w:rFonts w:ascii="Times New Roman"/>
          <w:b w:val="false"/>
          <w:i w:val="false"/>
          <w:color w:val="000000"/>
          <w:sz w:val="28"/>
        </w:rPr>
        <w:t>
      9. Дата составления отчета:</w:t>
      </w:r>
    </w:p>
    <w:bookmarkEnd w:id="158"/>
    <w:bookmarkStart w:name="z173" w:id="159"/>
    <w:p>
      <w:pPr>
        <w:spacing w:after="0"/>
        <w:ind w:left="0"/>
        <w:jc w:val="left"/>
      </w:pPr>
      <w:r>
        <w:rPr>
          <w:rFonts w:ascii="Times New Roman"/>
          <w:b/>
          <w:i w:val="false"/>
          <w:color w:val="000000"/>
        </w:rPr>
        <w:t xml:space="preserve"> Таблица мониторинга выполнения работ по компонентам проекта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компонента,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применяемых материалов, оборудования и технологий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выполненных работ, причины отклонений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ПСД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(накопительно)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 СМР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 СМР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Казахстанского происхождения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Импортного происхождения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174" w:id="160"/>
      <w:r>
        <w:rPr>
          <w:rFonts w:ascii="Times New Roman"/>
          <w:b w:val="false"/>
          <w:i w:val="false"/>
          <w:color w:val="000000"/>
          <w:sz w:val="28"/>
        </w:rPr>
        <w:t>
      В настоящей форме используются следующие сокращения:</w:t>
      </w:r>
    </w:p>
    <w:bookmarkEnd w:id="160"/>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ПСД — проектно-сметная документация;</w:t>
      </w:r>
    </w:p>
    <w:p>
      <w:pPr>
        <w:spacing w:after="0"/>
        <w:ind w:left="0"/>
        <w:jc w:val="both"/>
      </w:pPr>
      <w:r>
        <w:rPr>
          <w:rFonts w:ascii="Times New Roman"/>
          <w:b w:val="false"/>
          <w:i w:val="false"/>
          <w:color w:val="000000"/>
          <w:sz w:val="28"/>
        </w:rPr>
        <w:t>СЕМ — субъект естественной монополии;</w:t>
      </w:r>
    </w:p>
    <w:p>
      <w:pPr>
        <w:spacing w:after="0"/>
        <w:ind w:left="0"/>
        <w:jc w:val="both"/>
      </w:pPr>
      <w:r>
        <w:rPr>
          <w:rFonts w:ascii="Times New Roman"/>
          <w:b w:val="false"/>
          <w:i w:val="false"/>
          <w:color w:val="000000"/>
          <w:sz w:val="28"/>
        </w:rPr>
        <w:t>СМР — строительно-монтажные работы.</w:t>
      </w:r>
    </w:p>
    <w:bookmarkStart w:name="z175" w:id="161"/>
    <w:p>
      <w:pPr>
        <w:spacing w:after="0"/>
        <w:ind w:left="0"/>
        <w:jc w:val="left"/>
      </w:pPr>
      <w:r>
        <w:rPr>
          <w:rFonts w:ascii="Times New Roman"/>
          <w:b/>
          <w:i w:val="false"/>
          <w:color w:val="000000"/>
        </w:rPr>
        <w:t xml:space="preserve"> Пояснение по заполнению формы "Информация о ходе реализации проекта"</w:t>
      </w:r>
    </w:p>
    <w:bookmarkEnd w:id="161"/>
    <w:bookmarkStart w:name="z176" w:id="162"/>
    <w:p>
      <w:pPr>
        <w:spacing w:after="0"/>
        <w:ind w:left="0"/>
        <w:jc w:val="both"/>
      </w:pPr>
      <w:r>
        <w:rPr>
          <w:rFonts w:ascii="Times New Roman"/>
          <w:b w:val="false"/>
          <w:i w:val="false"/>
          <w:color w:val="000000"/>
          <w:sz w:val="28"/>
        </w:rPr>
        <w:t>
      1. Настоящая форма предназначена для систематического сбора и представления информации о ходе реализации проектов, включенных в перечень проектов Национального проекта по модернизации энергетического и коммунального секторов</w:t>
      </w:r>
    </w:p>
    <w:bookmarkEnd w:id="162"/>
    <w:bookmarkStart w:name="z177" w:id="163"/>
    <w:p>
      <w:pPr>
        <w:spacing w:after="0"/>
        <w:ind w:left="0"/>
        <w:jc w:val="both"/>
      </w:pPr>
      <w:r>
        <w:rPr>
          <w:rFonts w:ascii="Times New Roman"/>
          <w:b w:val="false"/>
          <w:i w:val="false"/>
          <w:color w:val="000000"/>
          <w:sz w:val="28"/>
        </w:rPr>
        <w:t>
      2. Таблица формы заполняется следующим образом:</w:t>
      </w:r>
    </w:p>
    <w:bookmarkEnd w:id="163"/>
    <w:bookmarkStart w:name="z178" w:id="164"/>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строкам;</w:t>
      </w:r>
    </w:p>
    <w:bookmarkEnd w:id="164"/>
    <w:bookmarkStart w:name="z179" w:id="165"/>
    <w:p>
      <w:pPr>
        <w:spacing w:after="0"/>
        <w:ind w:left="0"/>
        <w:jc w:val="both"/>
      </w:pPr>
      <w:r>
        <w:rPr>
          <w:rFonts w:ascii="Times New Roman"/>
          <w:b w:val="false"/>
          <w:i w:val="false"/>
          <w:color w:val="000000"/>
          <w:sz w:val="28"/>
        </w:rPr>
        <w:t>
      в графе 2 "Наименование компонента проекта" указывается наименование конкретного элемента или участка проекта, в соответствии с ПСД;</w:t>
      </w:r>
    </w:p>
    <w:bookmarkEnd w:id="165"/>
    <w:bookmarkStart w:name="z180" w:id="166"/>
    <w:p>
      <w:pPr>
        <w:spacing w:after="0"/>
        <w:ind w:left="0"/>
        <w:jc w:val="both"/>
      </w:pPr>
      <w:r>
        <w:rPr>
          <w:rFonts w:ascii="Times New Roman"/>
          <w:b w:val="false"/>
          <w:i w:val="false"/>
          <w:color w:val="000000"/>
          <w:sz w:val="28"/>
        </w:rPr>
        <w:t>
      в графе 3 "Сметная стоимость компонента проекта, тыс. тенге" отражается стоимость компонента по ПСД, включая поставку оборудования и материалов;</w:t>
      </w:r>
    </w:p>
    <w:bookmarkEnd w:id="166"/>
    <w:bookmarkStart w:name="z181" w:id="167"/>
    <w:p>
      <w:pPr>
        <w:spacing w:after="0"/>
        <w:ind w:left="0"/>
        <w:jc w:val="both"/>
      </w:pPr>
      <w:r>
        <w:rPr>
          <w:rFonts w:ascii="Times New Roman"/>
          <w:b w:val="false"/>
          <w:i w:val="false"/>
          <w:color w:val="000000"/>
          <w:sz w:val="28"/>
        </w:rPr>
        <w:t>
      в графе 4 "Объем работ в натуральном выражении. План по ПСД" указывается объем работ, предусмотренный ПСД, в соответствующих единицах измерения (км, м³, ед., м² и др.);</w:t>
      </w:r>
    </w:p>
    <w:bookmarkEnd w:id="167"/>
    <w:bookmarkStart w:name="z182" w:id="168"/>
    <w:p>
      <w:pPr>
        <w:spacing w:after="0"/>
        <w:ind w:left="0"/>
        <w:jc w:val="both"/>
      </w:pPr>
      <w:r>
        <w:rPr>
          <w:rFonts w:ascii="Times New Roman"/>
          <w:b w:val="false"/>
          <w:i w:val="false"/>
          <w:color w:val="000000"/>
          <w:sz w:val="28"/>
        </w:rPr>
        <w:t>
      в графе 5 "Объем работ в натуральном выражении. Факт (накопительно)" указывается объем выполненных работ на отчетную дату; объем должен соответствовать данным актов выполненных работ и отражать реальный физический прогресс;</w:t>
      </w:r>
    </w:p>
    <w:bookmarkEnd w:id="168"/>
    <w:bookmarkStart w:name="z183" w:id="169"/>
    <w:p>
      <w:pPr>
        <w:spacing w:after="0"/>
        <w:ind w:left="0"/>
        <w:jc w:val="both"/>
      </w:pPr>
      <w:r>
        <w:rPr>
          <w:rFonts w:ascii="Times New Roman"/>
          <w:b w:val="false"/>
          <w:i w:val="false"/>
          <w:color w:val="000000"/>
          <w:sz w:val="28"/>
        </w:rPr>
        <w:t>
      в графе 6 "Срок начала работ. По графику СМР" указывается дата начала работ по данному компоненту в соответствии с графиком СМР;</w:t>
      </w:r>
    </w:p>
    <w:bookmarkEnd w:id="169"/>
    <w:bookmarkStart w:name="z184" w:id="170"/>
    <w:p>
      <w:pPr>
        <w:spacing w:after="0"/>
        <w:ind w:left="0"/>
        <w:jc w:val="both"/>
      </w:pPr>
      <w:r>
        <w:rPr>
          <w:rFonts w:ascii="Times New Roman"/>
          <w:b w:val="false"/>
          <w:i w:val="false"/>
          <w:color w:val="000000"/>
          <w:sz w:val="28"/>
        </w:rPr>
        <w:t>
      а в графе 7 "Срок начала работ. Факт" - дата фактического начала работ;</w:t>
      </w:r>
    </w:p>
    <w:bookmarkEnd w:id="170"/>
    <w:bookmarkStart w:name="z185" w:id="171"/>
    <w:p>
      <w:pPr>
        <w:spacing w:after="0"/>
        <w:ind w:left="0"/>
        <w:jc w:val="both"/>
      </w:pPr>
      <w:r>
        <w:rPr>
          <w:rFonts w:ascii="Times New Roman"/>
          <w:b w:val="false"/>
          <w:i w:val="false"/>
          <w:color w:val="000000"/>
          <w:sz w:val="28"/>
        </w:rPr>
        <w:t>
      в графе 8 "Срок завершения работ. По графику СМР" указывается предусмотренная по графику СМР дата завершения работ;</w:t>
      </w:r>
    </w:p>
    <w:bookmarkEnd w:id="171"/>
    <w:bookmarkStart w:name="z186" w:id="172"/>
    <w:p>
      <w:pPr>
        <w:spacing w:after="0"/>
        <w:ind w:left="0"/>
        <w:jc w:val="both"/>
      </w:pPr>
      <w:r>
        <w:rPr>
          <w:rFonts w:ascii="Times New Roman"/>
          <w:b w:val="false"/>
          <w:i w:val="false"/>
          <w:color w:val="000000"/>
          <w:sz w:val="28"/>
        </w:rPr>
        <w:t>
      в графе 9 "Срок завершения работ. Факт" - фактическая дата окончания работ либо отметка "в процессе";</w:t>
      </w:r>
    </w:p>
    <w:bookmarkEnd w:id="172"/>
    <w:bookmarkStart w:name="z187" w:id="173"/>
    <w:p>
      <w:pPr>
        <w:spacing w:after="0"/>
        <w:ind w:left="0"/>
        <w:jc w:val="both"/>
      </w:pPr>
      <w:r>
        <w:rPr>
          <w:rFonts w:ascii="Times New Roman"/>
          <w:b w:val="false"/>
          <w:i w:val="false"/>
          <w:color w:val="000000"/>
          <w:sz w:val="28"/>
        </w:rPr>
        <w:t>
      в графе 10 "Применяемые материалы, оборудование и технологии казахстанского происхождения" указывается наименование и объем использованных материалов и оборудования отечественного производства, включая их технические характеристики (например, производительность, диаметр, мощность), наименование производителя и стоимость единицы оборудования; в графе 11 приводится аналогичная информация в отношении материалов, оборудования и технологий импортного происхождения, данные указываются в разрезе конкретного компонента проекта и должны соответствовать спецификациям ПСД и фактическим поставкам;</w:t>
      </w:r>
    </w:p>
    <w:bookmarkEnd w:id="173"/>
    <w:bookmarkStart w:name="z188" w:id="174"/>
    <w:p>
      <w:pPr>
        <w:spacing w:after="0"/>
        <w:ind w:left="0"/>
        <w:jc w:val="both"/>
      </w:pPr>
      <w:r>
        <w:rPr>
          <w:rFonts w:ascii="Times New Roman"/>
          <w:b w:val="false"/>
          <w:i w:val="false"/>
          <w:color w:val="000000"/>
          <w:sz w:val="28"/>
        </w:rPr>
        <w:t>
      в графе 12 "Краткое описание выполненных работ, причины невыполнения или отклонения (при наличии)" отражается описание объема и характера выполненных работ за отчетный период, с обязательным указанием всех существенных событий и проблемных вопросов. В случае возникновения отклонений указываются причины, включая судебные споры, несогласование проектных решений, повторное проведение закупочных процедур, отставание от графика СМР, невыход подрядчика на объект и другие обстоятельства. Также в данной графе описываются корректирующие действия, принятые заказчиком.</w:t>
      </w:r>
    </w:p>
    <w:bookmarkEnd w:id="174"/>
    <w:bookmarkStart w:name="z189" w:id="175"/>
    <w:p>
      <w:pPr>
        <w:spacing w:after="0"/>
        <w:ind w:left="0"/>
        <w:jc w:val="both"/>
      </w:pPr>
      <w:r>
        <w:rPr>
          <w:rFonts w:ascii="Times New Roman"/>
          <w:b w:val="false"/>
          <w:i w:val="false"/>
          <w:color w:val="000000"/>
          <w:sz w:val="28"/>
        </w:rPr>
        <w:t>
      3. Фото- и видеофиксация является обязательным элементом отчетности. К каждой отчетной форме прилагается не менее трех фотографий, отражающих текущее состояние объекта (например, начало работ, промежуточный этап, текущий прогресс), а также видеозапись продолжительностью до двух минут, демонстрирующая реальное состояние участка работ. Каждое фото и видео должно сопровождаться указанием даты, места и краткого описания.</w:t>
      </w:r>
    </w:p>
    <w:bookmarkEnd w:id="175"/>
    <w:bookmarkStart w:name="z190" w:id="176"/>
    <w:p>
      <w:pPr>
        <w:spacing w:after="0"/>
        <w:ind w:left="0"/>
        <w:jc w:val="both"/>
      </w:pPr>
      <w:r>
        <w:rPr>
          <w:rFonts w:ascii="Times New Roman"/>
          <w:b w:val="false"/>
          <w:i w:val="false"/>
          <w:color w:val="000000"/>
          <w:sz w:val="28"/>
        </w:rPr>
        <w:t>
      4. Вся представленная информация подлежит документальному подтверждению: актами выполненных работ, графиками СМР, справками заказчика или подрядчика, актами поставки оборудования, ведомостями и другими соответствующими материалами.</w:t>
      </w:r>
    </w:p>
    <w:bookmarkEnd w:id="176"/>
    <w:bookmarkStart w:name="z191" w:id="177"/>
    <w:p>
      <w:pPr>
        <w:spacing w:after="0"/>
        <w:ind w:left="0"/>
        <w:jc w:val="both"/>
      </w:pPr>
      <w:r>
        <w:rPr>
          <w:rFonts w:ascii="Times New Roman"/>
          <w:b w:val="false"/>
          <w:i w:val="false"/>
          <w:color w:val="000000"/>
          <w:sz w:val="28"/>
        </w:rPr>
        <w:t>
      5. Форма представляется в электронном виде (Excel или Word), с приложением сопроводительных файлов (фото/видео — в форматах JPG, PNG, MP4), а при необходимости — и в бумажной форме с подписью и печатью.</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