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0ca6" w14:textId="08e0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w:t>
      </w:r>
    </w:p>
    <w:p>
      <w:pPr>
        <w:spacing w:after="0"/>
        <w:ind w:left="0"/>
        <w:jc w:val="both"/>
      </w:pPr>
      <w:r>
        <w:rPr>
          <w:rFonts w:ascii="Times New Roman"/>
          <w:b w:val="false"/>
          <w:i w:val="false"/>
          <w:color w:val="000000"/>
          <w:sz w:val="28"/>
        </w:rPr>
        <w:t>Приказ и.о. Министра здравоохранения Республики Казахстан от 29 июля 2025 года № 71. Зарегистрирован в Министерстве юстиции Республики Казахстан 30 июля 2025 года № 36536</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 Республики Казахстан "О здоровье народа и системе здравоохранения" и </w:t>
      </w:r>
      <w:r>
        <w:rPr>
          <w:rFonts w:ascii="Times New Roman"/>
          <w:b w:val="false"/>
          <w:i w:val="false"/>
          <w:color w:val="000000"/>
          <w:sz w:val="28"/>
        </w:rPr>
        <w:t>подпунктом 301)</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целевые группы</w:t>
      </w:r>
      <w:r>
        <w:rPr>
          <w:rFonts w:ascii="Times New Roman"/>
          <w:b w:val="false"/>
          <w:i w:val="false"/>
          <w:color w:val="000000"/>
          <w:sz w:val="28"/>
        </w:rPr>
        <w:t xml:space="preserve"> лиц, подлежащих скрининговым исследованиям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объеме и периодичности проведения скрининговых исследований,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 w:id="1"/>
    <w:p>
      <w:pPr>
        <w:spacing w:after="0"/>
        <w:ind w:left="0"/>
        <w:jc w:val="both"/>
      </w:pPr>
      <w:r>
        <w:rPr>
          <w:rFonts w:ascii="Times New Roman"/>
          <w:b w:val="false"/>
          <w:i w:val="false"/>
          <w:color w:val="000000"/>
          <w:sz w:val="28"/>
        </w:rPr>
        <w:t>
      "4. Скрининговые исследования проводятся среди целевых групп лиц, подлежащих скрининговым исследованиям согласно приложению 1 к настоящему приказу (далее – целевые группы).";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3" w:id="2"/>
    <w:p>
      <w:pPr>
        <w:spacing w:after="0"/>
        <w:ind w:left="0"/>
        <w:jc w:val="both"/>
      </w:pPr>
      <w:r>
        <w:rPr>
          <w:rFonts w:ascii="Times New Roman"/>
          <w:b w:val="false"/>
          <w:i w:val="false"/>
          <w:color w:val="000000"/>
          <w:sz w:val="28"/>
        </w:rPr>
        <w:t>
      "10. Медицинская сестра (брат) организации АПП завершает скрининговое исследование на первом этапе:</w:t>
      </w:r>
    </w:p>
    <w:bookmarkEnd w:id="2"/>
    <w:bookmarkStart w:name="z14" w:id="3"/>
    <w:p>
      <w:pPr>
        <w:spacing w:after="0"/>
        <w:ind w:left="0"/>
        <w:jc w:val="both"/>
      </w:pPr>
      <w:r>
        <w:rPr>
          <w:rFonts w:ascii="Times New Roman"/>
          <w:b w:val="false"/>
          <w:i w:val="false"/>
          <w:color w:val="000000"/>
          <w:sz w:val="28"/>
        </w:rPr>
        <w:t>
      при отсутствии отклонений результатов исследований от нормы;</w:t>
      </w:r>
    </w:p>
    <w:bookmarkEnd w:id="3"/>
    <w:bookmarkStart w:name="z15" w:id="4"/>
    <w:p>
      <w:pPr>
        <w:spacing w:after="0"/>
        <w:ind w:left="0"/>
        <w:jc w:val="both"/>
      </w:pPr>
      <w:r>
        <w:rPr>
          <w:rFonts w:ascii="Times New Roman"/>
          <w:b w:val="false"/>
          <w:i w:val="false"/>
          <w:color w:val="000000"/>
          <w:sz w:val="28"/>
        </w:rPr>
        <w:t>
      при установлении наличия факторов риска для здоровья (ИМТ&gt;25, вредные привычки, нарушение режима сна и отдыха) после проведения консультации по здоровому образу жизни и рекомендаций по изменению поведения.";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7" w:id="5"/>
    <w:p>
      <w:pPr>
        <w:spacing w:after="0"/>
        <w:ind w:left="0"/>
        <w:jc w:val="both"/>
      </w:pPr>
      <w:r>
        <w:rPr>
          <w:rFonts w:ascii="Times New Roman"/>
          <w:b w:val="false"/>
          <w:i w:val="false"/>
          <w:color w:val="000000"/>
          <w:sz w:val="28"/>
        </w:rPr>
        <w:t>
      "11. Второй этап скринингового исследования проводится для установления причин отклонений результатов исследований от нормы, путем дообследования согласно приложению 1 к настоящим Правилам.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 наличии у пациента отклонений результатов исследований от нормы врач организации АПП направляет его на второй этап скрининга путем формирования в МИС направления в зависимости от вида скринингового исследования. </w:t>
      </w:r>
    </w:p>
    <w:bookmarkStart w:name="z19" w:id="6"/>
    <w:p>
      <w:pPr>
        <w:spacing w:after="0"/>
        <w:ind w:left="0"/>
        <w:jc w:val="both"/>
      </w:pPr>
      <w:r>
        <w:rPr>
          <w:rFonts w:ascii="Times New Roman"/>
          <w:b w:val="false"/>
          <w:i w:val="false"/>
          <w:color w:val="000000"/>
          <w:sz w:val="28"/>
        </w:rPr>
        <w:t>
      При наличии результатов ранее оказанных (в течение последних трех месяцев) медицинских услуг, соответствующих объему скрининговых исследований второго этапа, врач организации АПП завершает скрининг с установлением клинического диагноза.";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Выявленные в ходе скрининговых исследований пациенты с хроническими заболеваниями подлежат учету и динамическому наблюдению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Start w:name="z22" w:id="7"/>
    <w:p>
      <w:pPr>
        <w:spacing w:after="0"/>
        <w:ind w:left="0"/>
        <w:jc w:val="both"/>
      </w:pPr>
      <w:r>
        <w:rPr>
          <w:rFonts w:ascii="Times New Roman"/>
          <w:b w:val="false"/>
          <w:i w:val="false"/>
          <w:color w:val="000000"/>
          <w:sz w:val="28"/>
        </w:rPr>
        <w:t>
      При выявлении острых заболеваний проводится обследование, назначается лечение с последующей оценкой состояния здоровья пациента до полного выздоровления.</w:t>
      </w:r>
    </w:p>
    <w:bookmarkEnd w:id="7"/>
    <w:bookmarkStart w:name="z23" w:id="8"/>
    <w:p>
      <w:pPr>
        <w:spacing w:after="0"/>
        <w:ind w:left="0"/>
        <w:jc w:val="both"/>
      </w:pPr>
      <w:r>
        <w:rPr>
          <w:rFonts w:ascii="Times New Roman"/>
          <w:b w:val="false"/>
          <w:i w:val="false"/>
          <w:color w:val="000000"/>
          <w:sz w:val="28"/>
        </w:rPr>
        <w:t>
      Целевой группе, непрошедшей скрининговые исследования (по причине беременности, болезни, изменения места прикрепления, временного выезда за пределы страны и в случае отказа гражданина от прохождения скрининговых исследований), допускается проведение скрининговых исследований в течение следующего календарного года с сохранением установленной периодичности.</w:t>
      </w:r>
    </w:p>
    <w:bookmarkEnd w:id="8"/>
    <w:bookmarkStart w:name="z24" w:id="9"/>
    <w:p>
      <w:pPr>
        <w:spacing w:after="0"/>
        <w:ind w:left="0"/>
        <w:jc w:val="both"/>
      </w:pPr>
      <w:r>
        <w:rPr>
          <w:rFonts w:ascii="Times New Roman"/>
          <w:b w:val="false"/>
          <w:i w:val="false"/>
          <w:color w:val="000000"/>
          <w:sz w:val="28"/>
        </w:rPr>
        <w:t>
      На заключительном этапе врач организации АПП вносит в МИС результаты скрининговых исследований с выделением поведенческих факторов риска, заключительного диагноза, представляет рекомендации по дообследованию, наблюдению, также указывает основания завершения скрининга: завершение скрининговых исследований, истечение сроков скрининга, смерть пациента, прикрепление к другой организации АПП.</w:t>
      </w:r>
    </w:p>
    <w:bookmarkEnd w:id="9"/>
    <w:bookmarkStart w:name="z25" w:id="10"/>
    <w:p>
      <w:pPr>
        <w:spacing w:after="0"/>
        <w:ind w:left="0"/>
        <w:jc w:val="both"/>
      </w:pPr>
      <w:r>
        <w:rPr>
          <w:rFonts w:ascii="Times New Roman"/>
          <w:b w:val="false"/>
          <w:i w:val="false"/>
          <w:color w:val="000000"/>
          <w:sz w:val="28"/>
        </w:rPr>
        <w:t>
      Завершение случая - регистрация в МИС решения по окончанию маршрута оказания услуг согласно обращению в организацию ПМСП, по диагностике (окончательный диагноз), лечению (исход (исход ухода).</w:t>
      </w:r>
    </w:p>
    <w:bookmarkEnd w:id="10"/>
    <w:bookmarkStart w:name="z26" w:id="11"/>
    <w:p>
      <w:pPr>
        <w:spacing w:after="0"/>
        <w:ind w:left="0"/>
        <w:jc w:val="both"/>
      </w:pPr>
      <w:r>
        <w:rPr>
          <w:rFonts w:ascii="Times New Roman"/>
          <w:b w:val="false"/>
          <w:i w:val="false"/>
          <w:color w:val="000000"/>
          <w:sz w:val="28"/>
        </w:rPr>
        <w:t>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1"/>
    <w:bookmarkStart w:name="z27" w:id="12"/>
    <w:p>
      <w:pPr>
        <w:spacing w:after="0"/>
        <w:ind w:left="0"/>
        <w:jc w:val="both"/>
      </w:pPr>
      <w:r>
        <w:rPr>
          <w:rFonts w:ascii="Times New Roman"/>
          <w:b w:val="false"/>
          <w:i w:val="false"/>
          <w:color w:val="000000"/>
          <w:sz w:val="28"/>
        </w:rPr>
        <w:t>
      При отсутствии технической возможности медицинская документация оформляется в бумажном виде с последующим внесением в МИС не позднее одного календарного месяца.";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29" w:id="13"/>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13"/>
    <w:bookmarkStart w:name="z30"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31"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5"/>
    <w:bookmarkStart w:name="z32"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6"/>
    <w:bookmarkStart w:name="z33"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7"/>
    <w:bookmarkStart w:name="z34"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20"/>
              <w:ind w:left="20"/>
              <w:jc w:val="both"/>
            </w:pPr>
            <w:r>
              <w:rPr>
                <w:rFonts w:ascii="Times New Roman"/>
                <w:b w:val="false"/>
                <w:i/>
                <w:color w:val="000000"/>
                <w:sz w:val="20"/>
              </w:rPr>
              <w:t xml:space="preserve">Республики Казхастан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Казхастан</w:t>
            </w:r>
            <w:r>
              <w:br/>
            </w:r>
            <w:r>
              <w:rPr>
                <w:rFonts w:ascii="Times New Roman"/>
                <w:b w:val="false"/>
                <w:i w:val="false"/>
                <w:color w:val="000000"/>
                <w:sz w:val="20"/>
              </w:rPr>
              <w:t>от 29 июля 2025 года № 71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2020 года № ҚР ДСМ-174/2020</w:t>
            </w:r>
          </w:p>
        </w:tc>
      </w:tr>
    </w:tbl>
    <w:bookmarkStart w:name="z38" w:id="19"/>
    <w:p>
      <w:pPr>
        <w:spacing w:after="0"/>
        <w:ind w:left="0"/>
        <w:jc w:val="left"/>
      </w:pPr>
      <w:r>
        <w:rPr>
          <w:rFonts w:ascii="Times New Roman"/>
          <w:b/>
          <w:i w:val="false"/>
          <w:color w:val="000000"/>
        </w:rPr>
        <w:t xml:space="preserve"> Целевые группы лиц, подлежащие скрининговым исследованиям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Целевая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Вид </w:t>
            </w:r>
            <w:r>
              <w:rPr>
                <w:rFonts w:ascii="Times New Roman"/>
                <w:b/>
                <w:i w:val="false"/>
                <w:color w:val="000000"/>
                <w:sz w:val="20"/>
              </w:rPr>
              <w:t>скрининговых</w:t>
            </w:r>
            <w:r>
              <w:rPr>
                <w:rFonts w:ascii="Times New Roman"/>
                <w:b/>
                <w:i w:val="false"/>
                <w:color w:val="000000"/>
                <w:sz w:val="20"/>
              </w:rPr>
              <w:t xml:space="preserve">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гипертонией, ишемической болезнью сердца, сахарного диабета, глаукомы и поведенческими факторами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артериальной гипертонии, ишемической болезни сердца, сахарного диабета, глаукомы и поведенческих факторов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со злокачественными новообразованиями молочной железы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со злокачественными новообразованиями шейки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рака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50, 52, 54, 56, 58, 60, 62, 64, 66, 68, 70, 72, 74, 76 лет, не состоящие на динамическом наблюдении с доброкачественными и злокачественными новообразованиями толстой кишки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колоректального 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по году достижения* 50, 52, 54, 56, 58, 60, 62, 64, 66, 68, 70, 72, 74, 76 лет, не состоящие на динамическом наблюдении по цереброваскулярным болезням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нарушений мозгового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Группы риска: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медицинские работники: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организаций службы крови, проводящие инвазивные процедуры, участвующие в переработке крови; занимающиеся гемодиализом;</w:t>
            </w:r>
          </w:p>
          <w:p>
            <w:pPr>
              <w:spacing w:after="20"/>
              <w:ind w:left="20"/>
              <w:jc w:val="both"/>
            </w:pPr>
            <w:r>
              <w:rPr>
                <w:rFonts w:ascii="Times New Roman"/>
                <w:b w:val="false"/>
                <w:i w:val="false"/>
                <w:color w:val="000000"/>
                <w:sz w:val="20"/>
              </w:rPr>
              <w:t>
</w:t>
            </w:r>
            <w:r>
              <w:rPr>
                <w:rFonts w:ascii="Times New Roman"/>
                <w:b w:val="false"/>
                <w:i w:val="false"/>
                <w:color w:val="000000"/>
                <w:sz w:val="20"/>
              </w:rPr>
              <w:t>- хирургического, стоматологического, гинекологического, акушерского, гематологического профилей, также проводящие инвазивные методы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клинических, иммунологических, вирусологических, бактериологических, паразитологических лабораторий;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пациенты, поступающие на плановые и экстренные оперативные вмешательства;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пациенты центров и отделений гемодиализа, гематологии, онкологии, трансплантации, сердечно-сосудистой и легочной хирургии;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пациенты, получающие гемотрансфузии, трансплантацию и пересадку органов (части органов), тканей, половых, фетальных, стволовых клеток и биологических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беременные женщины;</w:t>
            </w:r>
          </w:p>
          <w:p>
            <w:pPr>
              <w:spacing w:after="20"/>
              <w:ind w:left="20"/>
              <w:jc w:val="both"/>
            </w:pPr>
            <w:r>
              <w:rPr>
                <w:rFonts w:ascii="Times New Roman"/>
                <w:b w:val="false"/>
                <w:i w:val="false"/>
                <w:color w:val="000000"/>
                <w:sz w:val="20"/>
              </w:rPr>
              <w:t>
6) лица из ключевых групп населения, которые подвергаются повышенному риску заражения ВИЧ-инфекцией в силу особенностей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раннее выявление вирусных гепатитов В и С (2 этапное)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достижения принимается период календарного года (с января по декабрь), в котором представитель целевой группы достигает указанный возраст;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Республики Казхастан </w:t>
            </w:r>
            <w:r>
              <w:br/>
            </w:r>
            <w:r>
              <w:rPr>
                <w:rFonts w:ascii="Times New Roman"/>
                <w:b w:val="false"/>
                <w:i w:val="false"/>
                <w:color w:val="000000"/>
                <w:sz w:val="20"/>
              </w:rPr>
              <w:t>от 29 июля 2025 года № 71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объему и периодичности</w:t>
            </w:r>
            <w:r>
              <w:br/>
            </w:r>
            <w:r>
              <w:rPr>
                <w:rFonts w:ascii="Times New Roman"/>
                <w:b w:val="false"/>
                <w:i w:val="false"/>
                <w:color w:val="000000"/>
                <w:sz w:val="20"/>
              </w:rPr>
              <w:t>проведения скрининговых</w:t>
            </w:r>
            <w:r>
              <w:br/>
            </w:r>
            <w:r>
              <w:rPr>
                <w:rFonts w:ascii="Times New Roman"/>
                <w:b w:val="false"/>
                <w:i w:val="false"/>
                <w:color w:val="000000"/>
                <w:sz w:val="20"/>
              </w:rPr>
              <w:t>исследований</w:t>
            </w:r>
          </w:p>
        </w:tc>
      </w:tr>
    </w:tbl>
    <w:bookmarkStart w:name="z50" w:id="21"/>
    <w:p>
      <w:pPr>
        <w:spacing w:after="0"/>
        <w:ind w:left="0"/>
        <w:jc w:val="left"/>
      </w:pPr>
      <w:r>
        <w:rPr>
          <w:rFonts w:ascii="Times New Roman"/>
          <w:b/>
          <w:i w:val="false"/>
          <w:color w:val="000000"/>
        </w:rPr>
        <w:t xml:space="preserve"> Объем скрининговых исследований целевых групп лиц, подлежащих скрининговым исследованиям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Объем </w:t>
            </w:r>
            <w:r>
              <w:rPr>
                <w:rFonts w:ascii="Times New Roman"/>
                <w:b/>
                <w:i w:val="false"/>
                <w:color w:val="000000"/>
                <w:sz w:val="20"/>
              </w:rPr>
              <w:t>скрининговых</w:t>
            </w:r>
            <w:r>
              <w:rPr>
                <w:rFonts w:ascii="Times New Roman"/>
                <w:b/>
                <w:i w:val="false"/>
                <w:color w:val="000000"/>
                <w:sz w:val="20"/>
              </w:rPr>
              <w:t xml:space="preserve">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пакета услуг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2"/>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гипертензией, ишемической болезнью сердца, сахарным диабетом, глаукомой и поведенческих факторов риска согласно коду</w:t>
            </w:r>
          </w:p>
          <w:bookmarkEnd w:id="22"/>
          <w:p>
            <w:pPr>
              <w:spacing w:after="20"/>
              <w:ind w:left="20"/>
              <w:jc w:val="both"/>
            </w:pPr>
            <w:r>
              <w:rPr>
                <w:rFonts w:ascii="Times New Roman"/>
                <w:b w:val="false"/>
                <w:i w:val="false"/>
                <w:color w:val="000000"/>
                <w:sz w:val="20"/>
              </w:rPr>
              <w:t>
Z13.8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
          <w:p>
            <w:pPr>
              <w:spacing w:after="20"/>
              <w:ind w:left="20"/>
              <w:jc w:val="both"/>
            </w:pPr>
            <w:r>
              <w:rPr>
                <w:rFonts w:ascii="Times New Roman"/>
                <w:b w:val="false"/>
                <w:i w:val="false"/>
                <w:color w:val="000000"/>
                <w:sz w:val="20"/>
              </w:rPr>
              <w:t>
Прием: Сестра медицинская либо фельдшер;</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липопротеидов низкой плотности в сыворотке крови на анализаторе;</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триглицеридов в сыворотке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гликозилированного гемоглобина в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Измерение внутриглазного давления по Маклакову или бесконтактная пневмотонометрия</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Электрокардиографическое исследование (в 12 отведениях) с расшифровкой при подозрении на артериальную гипертензию, ишемическую болезнь сердца;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 при подозрении на глаукому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Мужчины по году достижения 50, 52, 54, 56, 58, 60, 62, 64, 66, 68, 70, 72, 74, 76 лет, не состоящие на динамическом наблюдении по цереброваскулярным болезням согласно коду</w:t>
            </w:r>
          </w:p>
          <w:bookmarkEnd w:id="24"/>
          <w:p>
            <w:pPr>
              <w:spacing w:after="20"/>
              <w:ind w:left="20"/>
              <w:jc w:val="both"/>
            </w:pPr>
            <w:r>
              <w:rPr>
                <w:rFonts w:ascii="Times New Roman"/>
                <w:b w:val="false"/>
                <w:i w:val="false"/>
                <w:color w:val="000000"/>
                <w:sz w:val="20"/>
              </w:rPr>
              <w:t>
Z13.6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брахиоцефального ствола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Сосудистый хирург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 злокачественными новообразованиями молочной железы согласно коду</w:t>
            </w:r>
          </w:p>
          <w:bookmarkEnd w:id="25"/>
          <w:p>
            <w:pPr>
              <w:spacing w:after="20"/>
              <w:ind w:left="20"/>
              <w:jc w:val="both"/>
            </w:pPr>
            <w:r>
              <w:rPr>
                <w:rFonts w:ascii="Times New Roman"/>
                <w:b w:val="false"/>
                <w:i w:val="false"/>
                <w:color w:val="000000"/>
                <w:sz w:val="20"/>
              </w:rPr>
              <w:t>
Z12.3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Прием: Сестра медицинская, фельдшер;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Маммография (4 снимка)</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Консультация (2-читка рентгенограммы);</w:t>
            </w:r>
          </w:p>
          <w:bookmarkEnd w:id="27"/>
          <w:p>
            <w:pPr>
              <w:spacing w:after="20"/>
              <w:ind w:left="20"/>
              <w:jc w:val="both"/>
            </w:pPr>
            <w:r>
              <w:rPr>
                <w:rFonts w:ascii="Times New Roman"/>
                <w:b w:val="false"/>
                <w:i w:val="false"/>
                <w:color w:val="000000"/>
                <w:sz w:val="20"/>
              </w:rPr>
              <w:t>
Консультация: Рентгенолог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УЗИ молочных желез;</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Прицельная маммография (1 проекция);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Пункционная/аспирационная биопсия под стереотаксическим контролем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Трепанобиопсия по показаниям;</w:t>
            </w:r>
          </w:p>
          <w:p>
            <w:pPr>
              <w:spacing w:after="20"/>
              <w:ind w:left="20"/>
              <w:jc w:val="both"/>
            </w:pPr>
            <w:r>
              <w:rPr>
                <w:rFonts w:ascii="Times New Roman"/>
                <w:b w:val="false"/>
                <w:i w:val="false"/>
                <w:color w:val="000000"/>
                <w:sz w:val="20"/>
              </w:rPr>
              <w:t>
Консультация: Онколог или Онколог-хирург или маммолог;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 злокачественными новообразованиями шейки матки согласно коду Z12.4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Прием: Сестра медицинская либо фельдшер, либо акушерка;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Забор мазка на онкоцитологию</w:t>
            </w:r>
          </w:p>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Цитологическое исследование мазка из шейки матки ПАП-тест на аппарате жидкостной цитологии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Консультация: Акушер-гинеколог;</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Видеокольпоскопия либо кольпоскопия;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Биопсия шейки матки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Консультация: Онколог либо онколог-хирург, либо онколог-гинеколог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50, 52, 54, 56, 58, 60, 62, 64, 66, 68, 70, 72, 74, 76 лет, не состоящие на динамическом наблюдении с доброкачественными и злокачественными новообразованиями толстой кишки согласно коду Z12.1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Сестра медицинская,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1"/>
          <w:p>
            <w:pPr>
              <w:spacing w:after="20"/>
              <w:ind w:left="20"/>
              <w:jc w:val="both"/>
            </w:pPr>
            <w:r>
              <w:rPr>
                <w:rFonts w:ascii="Times New Roman"/>
                <w:b w:val="false"/>
                <w:i w:val="false"/>
                <w:color w:val="000000"/>
                <w:sz w:val="20"/>
              </w:rPr>
              <w:t>
Обнаружение скрытой крови в кале (гемокульт-тест) экспресс методом</w:t>
            </w:r>
          </w:p>
          <w:bookmarkEnd w:id="31"/>
          <w:p>
            <w:pPr>
              <w:spacing w:after="20"/>
              <w:ind w:left="20"/>
              <w:jc w:val="both"/>
            </w:pPr>
            <w:r>
              <w:rPr>
                <w:rFonts w:ascii="Times New Roman"/>
                <w:b w:val="false"/>
                <w:i w:val="false"/>
                <w:color w:val="000000"/>
                <w:sz w:val="20"/>
              </w:rPr>
              <w:t>
Прием (для завершения 1 этапа либо направления на 2 этап):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Наркоз внутривенный по показаниям</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Тотальная видеоколоноскопия скрининговая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Гистологическое исследование 1 блок-препарата операционно-биопсийного материала 3 категории сложности по показаниям;</w:t>
            </w:r>
          </w:p>
          <w:p>
            <w:pPr>
              <w:spacing w:after="20"/>
              <w:ind w:left="20"/>
              <w:jc w:val="both"/>
            </w:pPr>
            <w:r>
              <w:rPr>
                <w:rFonts w:ascii="Times New Roman"/>
                <w:b w:val="false"/>
                <w:i w:val="false"/>
                <w:color w:val="000000"/>
                <w:sz w:val="20"/>
              </w:rPr>
              <w:t>
Консультация: Онколог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Скрининговые исследования лиц из групп риска (2 этапное) на раннее выявление вирусных гепатитов В и С согласно коду</w:t>
            </w:r>
          </w:p>
          <w:bookmarkEnd w:id="33"/>
          <w:p>
            <w:pPr>
              <w:spacing w:after="20"/>
              <w:ind w:left="20"/>
              <w:jc w:val="both"/>
            </w:pPr>
            <w:r>
              <w:rPr>
                <w:rFonts w:ascii="Times New Roman"/>
                <w:b w:val="false"/>
                <w:i w:val="false"/>
                <w:color w:val="000000"/>
                <w:sz w:val="20"/>
              </w:rPr>
              <w:t>
Z11.5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4"/>
          <w:p>
            <w:pPr>
              <w:spacing w:after="20"/>
              <w:ind w:left="20"/>
              <w:jc w:val="both"/>
            </w:pPr>
            <w:r>
              <w:rPr>
                <w:rFonts w:ascii="Times New Roman"/>
                <w:b w:val="false"/>
                <w:i w:val="false"/>
                <w:color w:val="000000"/>
                <w:sz w:val="20"/>
              </w:rPr>
              <w:t>
Прием: Сестра медицинская либо фельдшер;</w:t>
            </w:r>
          </w:p>
          <w:bookmarkEnd w:id="34"/>
          <w:p>
            <w:pPr>
              <w:spacing w:after="20"/>
              <w:ind w:left="20"/>
              <w:jc w:val="both"/>
            </w:pPr>
            <w:r>
              <w:rPr>
                <w:rFonts w:ascii="Times New Roman"/>
                <w:b w:val="false"/>
                <w:i w:val="false"/>
                <w:color w:val="000000"/>
                <w:sz w:val="20"/>
              </w:rPr>
              <w:t>
Забор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5"/>
          <w:p>
            <w:pPr>
              <w:spacing w:after="20"/>
              <w:ind w:left="20"/>
              <w:jc w:val="both"/>
            </w:pPr>
            <w:r>
              <w:rPr>
                <w:rFonts w:ascii="Times New Roman"/>
                <w:b w:val="false"/>
                <w:i w:val="false"/>
                <w:color w:val="000000"/>
                <w:sz w:val="20"/>
              </w:rPr>
              <w:t>
Определение HbsAg в сыворотке крови ИФА-методом;</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суммарных антител к вирусу гепатита C в сыворотке крови ИФА-методом;</w:t>
            </w:r>
          </w:p>
          <w:p>
            <w:pPr>
              <w:spacing w:after="20"/>
              <w:ind w:left="20"/>
              <w:jc w:val="both"/>
            </w:pPr>
            <w:r>
              <w:rPr>
                <w:rFonts w:ascii="Times New Roman"/>
                <w:b w:val="false"/>
                <w:i w:val="false"/>
                <w:color w:val="000000"/>
                <w:sz w:val="20"/>
              </w:rPr>
              <w:t>
Обнаружение РНК вируса гепатита C в биологическом материале методом ПЦР качественное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 Семейный врач либо Врач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r>
    </w:tbl>
    <w:bookmarkStart w:name="z81" w:id="36"/>
    <w:p>
      <w:pPr>
        <w:spacing w:after="0"/>
        <w:ind w:left="0"/>
        <w:jc w:val="both"/>
      </w:pPr>
      <w:r>
        <w:rPr>
          <w:rFonts w:ascii="Times New Roman"/>
          <w:b w:val="false"/>
          <w:i w:val="false"/>
          <w:color w:val="000000"/>
          <w:sz w:val="28"/>
        </w:rPr>
        <w:t>
       Примечание: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ГОБМП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Гарантированный объем бесплатной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Рибонуклеиновая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Полимеразно-цепная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доплерография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Казхастан</w:t>
            </w:r>
            <w:r>
              <w:br/>
            </w:r>
            <w:r>
              <w:rPr>
                <w:rFonts w:ascii="Times New Roman"/>
                <w:b w:val="false"/>
                <w:i w:val="false"/>
                <w:color w:val="000000"/>
                <w:sz w:val="20"/>
              </w:rPr>
              <w:t>от 29 июля 2025 года № 71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объему и периодичности</w:t>
            </w:r>
            <w:r>
              <w:br/>
            </w:r>
            <w:r>
              <w:rPr>
                <w:rFonts w:ascii="Times New Roman"/>
                <w:b w:val="false"/>
                <w:i w:val="false"/>
                <w:color w:val="000000"/>
                <w:sz w:val="20"/>
              </w:rPr>
              <w:t>проведения скрининговых</w:t>
            </w:r>
            <w:r>
              <w:br/>
            </w:r>
            <w:r>
              <w:rPr>
                <w:rFonts w:ascii="Times New Roman"/>
                <w:b w:val="false"/>
                <w:i w:val="false"/>
                <w:color w:val="000000"/>
                <w:sz w:val="20"/>
              </w:rPr>
              <w:t>исследований</w:t>
            </w:r>
          </w:p>
        </w:tc>
      </w:tr>
    </w:tbl>
    <w:bookmarkStart w:name="z84" w:id="37"/>
    <w:p>
      <w:pPr>
        <w:spacing w:after="0"/>
        <w:ind w:left="0"/>
        <w:jc w:val="left"/>
      </w:pPr>
      <w:r>
        <w:rPr>
          <w:rFonts w:ascii="Times New Roman"/>
          <w:b/>
          <w:i w:val="false"/>
          <w:color w:val="000000"/>
        </w:rPr>
        <w:t xml:space="preserve"> Периодичность и сроки завершения скрининговых исследований целевых групп лиц, подлежащих скрининговым исследованиям</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целевой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завершения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по году достижения 40, 42, 44, 46, 48, 50, 52, 54, 56, 58, 60, 62, 64, 66, 68, 70, 72, 74, 76 лет, не состоящие на динамическом наблюдении с артериальной гипертонией, ишемической болезнью сердца, сахарным диабетом, глаукомой и поведенческими факторами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40, 42, 44, 46, 48, 50, 52, 54, 56, 58, 60, 62, 64, 66, 68, 70, 72, 74, 76 лет, не состоящие на динамическом наблюдении со злокачественными новообразованиями молочной железы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по году достижения 30, 34, 38, 42, 46, 50, 54, 58, 62, 66, 70, 74 лет, не состоящие на динамическом наблюдении со злокачественными новообразованиями шейки матки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в возрасте 50, 52, 54, 56, 58, 60, 62, 64, 66, 68, 70, 72, 74, 76 лет, не состоящие на динамическом наблюдении по поводу цереброваскулярных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и женщины в возрасте 50, 52, 54, 56, 58, 60, 62, 64, 66, 68, 70, 72, 74, 76 лет, не состоящие на динамическом наблюдении с доброкачественными и злокачественными новообразованиями толстой кишки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8"/>
          <w:p>
            <w:pPr>
              <w:spacing w:after="20"/>
              <w:ind w:left="20"/>
              <w:jc w:val="both"/>
            </w:pPr>
            <w:r>
              <w:rPr>
                <w:rFonts w:ascii="Times New Roman"/>
                <w:b w:val="false"/>
                <w:i w:val="false"/>
                <w:color w:val="000000"/>
                <w:sz w:val="20"/>
              </w:rPr>
              <w:t>
Декретированные категории граждан (2 этапное) на раннее выявление вирусных гепатитов В и С</w:t>
            </w:r>
          </w:p>
          <w:bookmarkEnd w:id="38"/>
          <w:p>
            <w:pPr>
              <w:spacing w:after="20"/>
              <w:ind w:left="20"/>
              <w:jc w:val="both"/>
            </w:pPr>
            <w:r>
              <w:rPr>
                <w:rFonts w:ascii="Times New Roman"/>
                <w:b w:val="false"/>
                <w:i w:val="false"/>
                <w:color w:val="000000"/>
                <w:sz w:val="20"/>
              </w:rPr>
              <w:t>
не чаще 1 раза в 6 месяцев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9"/>
          <w:p>
            <w:pPr>
              <w:spacing w:after="20"/>
              <w:ind w:left="20"/>
              <w:jc w:val="both"/>
            </w:pPr>
            <w:r>
              <w:rPr>
                <w:rFonts w:ascii="Times New Roman"/>
                <w:b w:val="false"/>
                <w:i w:val="false"/>
                <w:color w:val="000000"/>
                <w:sz w:val="20"/>
              </w:rPr>
              <w:t>
не чаще 1 раза</w:t>
            </w:r>
          </w:p>
          <w:bookmarkEnd w:id="39"/>
          <w:p>
            <w:pPr>
              <w:spacing w:after="20"/>
              <w:ind w:left="20"/>
              <w:jc w:val="both"/>
            </w:pPr>
            <w:r>
              <w:rPr>
                <w:rFonts w:ascii="Times New Roman"/>
                <w:b w:val="false"/>
                <w:i w:val="false"/>
                <w:color w:val="000000"/>
                <w:sz w:val="20"/>
              </w:rPr>
              <w:t>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