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3f50" w14:textId="6b3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24 июля 2025 года № 275. Зарегистрирован в Министерстве юстиции Республики Казахстан 25 июля 2025 года № 36507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 (зарегистрирован в Реестре государственной регистрации нормативных правовых актов № 28281)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каждой меры государственного стимулирования промышленности определены следующие встречные обязательства: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лизинговое финансирование: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товаров и услуг, казахстанского происхождения обрабатывающей промышленности на внешние рынки: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валютной выручки от реализации продукции и оказания услуг не менее чем на 10% в течение 2 (двух) 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услуг, казахстанского происхождения обрабатывающей промышленности, которые подлежат страхованию со стороны Экспортно-кредитного агентства Казахстана: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не ниже экспорта продукции в денежном выражении к предыдущему году;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участников территориальных кластеров – предприятий производителей продукции не менее чем на 2% по итогам реализации совместных проектов;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участниками территориальных кластеров не менее чем на 3% по итогам реализации совместных проектов;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 (применяются при условии отсутствия действующих встречных обязательств):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производства предприятия на 10% в течение 2 (двух) лет;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на 10% в течение 2 (двух) лет."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