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06b3" w14:textId="6040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июня 2025 года № 24. Зарегистрировано в Министерстве юстиции Республики Казахстан 3 июля 2025 года № 36392.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24</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следующие изменения и дополнение: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Правление Национального Банка Республики Казахстан </w:t>
      </w:r>
      <w:r>
        <w:rPr>
          <w:rFonts w:ascii="Times New Roman"/>
          <w:b/>
          <w:i w:val="false"/>
          <w:color w:val="000000"/>
          <w:sz w:val="28"/>
        </w:rPr>
        <w:t>ПОСТAНОВЛЯЕТ:</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Закона о ПОДФТ (далее – субъекты финансового мониторинга).";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"7. Для идентификации и аутентификации клиента используются следующие способы:</w:t>
      </w:r>
    </w:p>
    <w:bookmarkEnd w:id="14"/>
    <w:bookmarkStart w:name="z24" w:id="15"/>
    <w:p>
      <w:pPr>
        <w:spacing w:after="0"/>
        <w:ind w:left="0"/>
        <w:jc w:val="both"/>
      </w:pPr>
      <w:r>
        <w:rPr>
          <w:rFonts w:ascii="Times New Roman"/>
          <w:b w:val="false"/>
          <w:i w:val="false"/>
          <w:color w:val="000000"/>
          <w:sz w:val="28"/>
        </w:rPr>
        <w:t>
      1) электронная цифровая подпись физического или юридического лица;</w:t>
      </w:r>
    </w:p>
    <w:bookmarkEnd w:id="15"/>
    <w:bookmarkStart w:name="z25" w:id="16"/>
    <w:p>
      <w:pPr>
        <w:spacing w:after="0"/>
        <w:ind w:left="0"/>
        <w:jc w:val="both"/>
      </w:pPr>
      <w:r>
        <w:rPr>
          <w:rFonts w:ascii="Times New Roman"/>
          <w:b w:val="false"/>
          <w:i w:val="false"/>
          <w:color w:val="000000"/>
          <w:sz w:val="28"/>
        </w:rPr>
        <w:t>
      2) или средства биометрической идентификации;</w:t>
      </w:r>
    </w:p>
    <w:bookmarkEnd w:id="16"/>
    <w:bookmarkStart w:name="z26" w:id="17"/>
    <w:p>
      <w:pPr>
        <w:spacing w:after="0"/>
        <w:ind w:left="0"/>
        <w:jc w:val="both"/>
      </w:pPr>
      <w:r>
        <w:rPr>
          <w:rFonts w:ascii="Times New Roman"/>
          <w:b w:val="false"/>
          <w:i w:val="false"/>
          <w:color w:val="000000"/>
          <w:sz w:val="28"/>
        </w:rPr>
        <w:t>
      3) или реквизиты платежной карточки при идентификации и аутентификации физического лица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субъектом финансового мониторинга заключено соглашение об информационном обмене, в случае, если физическое лицо было ранее идентифицировано субъектом финансового мониторинга при личном присутствии;</w:t>
      </w:r>
    </w:p>
    <w:bookmarkEnd w:id="17"/>
    <w:bookmarkStart w:name="z27" w:id="18"/>
    <w:p>
      <w:pPr>
        <w:spacing w:after="0"/>
        <w:ind w:left="0"/>
        <w:jc w:val="both"/>
      </w:pPr>
      <w:r>
        <w:rPr>
          <w:rFonts w:ascii="Times New Roman"/>
          <w:b w:val="false"/>
          <w:i w:val="false"/>
          <w:color w:val="000000"/>
          <w:sz w:val="28"/>
        </w:rPr>
        <w:t>
      4) или подтверждение личности физического лица путем сверки с государственными базами данных;</w:t>
      </w:r>
    </w:p>
    <w:bookmarkEnd w:id="18"/>
    <w:bookmarkStart w:name="z28" w:id="19"/>
    <w:p>
      <w:pPr>
        <w:spacing w:after="0"/>
        <w:ind w:left="0"/>
        <w:jc w:val="both"/>
      </w:pPr>
      <w:r>
        <w:rPr>
          <w:rFonts w:ascii="Times New Roman"/>
          <w:b w:val="false"/>
          <w:i w:val="false"/>
          <w:color w:val="000000"/>
          <w:sz w:val="28"/>
        </w:rPr>
        <w:t>
      5) или уникальный идентификатор, представляющий собой комбинацию букв, цифр или символов или иной идентификатор, установленный субъектом финансового мониторинга для идентификации клиента и согласованный с ним.</w:t>
      </w:r>
    </w:p>
    <w:bookmarkEnd w:id="19"/>
    <w:bookmarkStart w:name="z29" w:id="20"/>
    <w:p>
      <w:pPr>
        <w:spacing w:after="0"/>
        <w:ind w:left="0"/>
        <w:jc w:val="both"/>
      </w:pPr>
      <w:r>
        <w:rPr>
          <w:rFonts w:ascii="Times New Roman"/>
          <w:b w:val="false"/>
          <w:i w:val="false"/>
          <w:color w:val="000000"/>
          <w:sz w:val="28"/>
        </w:rPr>
        <w:t>
      Допускается использование одного или в совокупности нескольких из способов идентификации и аутентификации клиента, определенных в части первой настоящего пункта, за исключением случаев, предусмотренных частью третьей настоящего пункта и пунктом 7-1 Требований.</w:t>
      </w:r>
    </w:p>
    <w:bookmarkEnd w:id="20"/>
    <w:bookmarkStart w:name="z30" w:id="21"/>
    <w:p>
      <w:pPr>
        <w:spacing w:after="0"/>
        <w:ind w:left="0"/>
        <w:jc w:val="both"/>
      </w:pPr>
      <w:r>
        <w:rPr>
          <w:rFonts w:ascii="Times New Roman"/>
          <w:b w:val="false"/>
          <w:i w:val="false"/>
          <w:color w:val="000000"/>
          <w:sz w:val="28"/>
        </w:rPr>
        <w:t>
      Способ идентификации и аутентификации клиента, предусмотренный подпунктом 5) части первой настоящего пункта, используется в одном из следующих случаев:</w:t>
      </w:r>
    </w:p>
    <w:bookmarkEnd w:id="21"/>
    <w:bookmarkStart w:name="z31" w:id="22"/>
    <w:p>
      <w:pPr>
        <w:spacing w:after="0"/>
        <w:ind w:left="0"/>
        <w:jc w:val="both"/>
      </w:pPr>
      <w:r>
        <w:rPr>
          <w:rFonts w:ascii="Times New Roman"/>
          <w:b w:val="false"/>
          <w:i w:val="false"/>
          <w:color w:val="000000"/>
          <w:sz w:val="28"/>
        </w:rPr>
        <w:t>
      в совокупности с одним или несколькими способами идентификации и аутентификации клиента, предусмотренными подпунктами 1), 2), 3) и 4) части первой настоящего пункта;</w:t>
      </w:r>
    </w:p>
    <w:bookmarkEnd w:id="22"/>
    <w:bookmarkStart w:name="z32" w:id="23"/>
    <w:p>
      <w:pPr>
        <w:spacing w:after="0"/>
        <w:ind w:left="0"/>
        <w:jc w:val="both"/>
      </w:pPr>
      <w:r>
        <w:rPr>
          <w:rFonts w:ascii="Times New Roman"/>
          <w:b w:val="false"/>
          <w:i w:val="false"/>
          <w:color w:val="000000"/>
          <w:sz w:val="28"/>
        </w:rPr>
        <w:t>
      при заключении страховыми организациями и филиалами страховых (перестраховочных) организаций-нерезидентов Республики Казахстан договоров страхования в электронной форме, за исключением договоров страхования жизни, договоров аннуитетного страхования и договоров страхования, предусматривающих условие участия страхователя в инвестициях;</w:t>
      </w:r>
    </w:p>
    <w:bookmarkEnd w:id="23"/>
    <w:bookmarkStart w:name="z33" w:id="24"/>
    <w:p>
      <w:pPr>
        <w:spacing w:after="0"/>
        <w:ind w:left="0"/>
        <w:jc w:val="both"/>
      </w:pPr>
      <w:r>
        <w:rPr>
          <w:rFonts w:ascii="Times New Roman"/>
          <w:b w:val="false"/>
          <w:i w:val="false"/>
          <w:color w:val="000000"/>
          <w:sz w:val="28"/>
        </w:rPr>
        <w:t>
      при принятии мер по надлежащей проверке клиентов (их представителей) и бенефициарных собственников в соответствии с пунктом 6 статьи 5 Закона о ПОДФТ.</w:t>
      </w:r>
    </w:p>
    <w:bookmarkEnd w:id="24"/>
    <w:bookmarkStart w:name="z34" w:id="25"/>
    <w:p>
      <w:pPr>
        <w:spacing w:after="0"/>
        <w:ind w:left="0"/>
        <w:jc w:val="both"/>
      </w:pPr>
      <w:r>
        <w:rPr>
          <w:rFonts w:ascii="Times New Roman"/>
          <w:b w:val="false"/>
          <w:i w:val="false"/>
          <w:color w:val="000000"/>
          <w:sz w:val="28"/>
        </w:rPr>
        <w:t>
      Выбор способа идентификации и аутентификации клиента осуществляется субъектом финансового мониторинга.";</w:t>
      </w:r>
    </w:p>
    <w:bookmarkEnd w:id="25"/>
    <w:bookmarkStart w:name="z35" w:id="26"/>
    <w:p>
      <w:pPr>
        <w:spacing w:after="0"/>
        <w:ind w:left="0"/>
        <w:jc w:val="both"/>
      </w:pPr>
      <w:r>
        <w:rPr>
          <w:rFonts w:ascii="Times New Roman"/>
          <w:b w:val="false"/>
          <w:i w:val="false"/>
          <w:color w:val="000000"/>
          <w:sz w:val="28"/>
        </w:rPr>
        <w:t>
      дополнить пунктом 7-1 следующего содержания:</w:t>
      </w:r>
    </w:p>
    <w:bookmarkEnd w:id="26"/>
    <w:bookmarkStart w:name="z36" w:id="27"/>
    <w:p>
      <w:pPr>
        <w:spacing w:after="0"/>
        <w:ind w:left="0"/>
        <w:jc w:val="both"/>
      </w:pPr>
      <w:r>
        <w:rPr>
          <w:rFonts w:ascii="Times New Roman"/>
          <w:b w:val="false"/>
          <w:i w:val="false"/>
          <w:color w:val="000000"/>
          <w:sz w:val="28"/>
        </w:rPr>
        <w:t xml:space="preserve">
      "7-1. Банки второго уровня, филиалы банков-нерезидентов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 с обязательным проведением биометрической идентификации клиента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зарегистрированным в Реестре государственной регистрации нормативных правовых актов под № 20160.</w:t>
      </w:r>
    </w:p>
    <w:bookmarkEnd w:id="27"/>
    <w:bookmarkStart w:name="z37" w:id="28"/>
    <w:p>
      <w:pPr>
        <w:spacing w:after="0"/>
        <w:ind w:left="0"/>
        <w:jc w:val="both"/>
      </w:pPr>
      <w:r>
        <w:rPr>
          <w:rFonts w:ascii="Times New Roman"/>
          <w:b w:val="false"/>
          <w:i w:val="false"/>
          <w:color w:val="000000"/>
          <w:sz w:val="28"/>
        </w:rPr>
        <w:t>
      При проведении биометрической идентификации клиента банки второго уровня, филиалы банков-нерезидентов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"11. Субъект финансового мониторинга отказывает в установлении деловых отношений дистанционным способом и (или) в проведении операции в случае:</w:t>
      </w:r>
    </w:p>
    <w:bookmarkEnd w:id="29"/>
    <w:bookmarkStart w:name="z40" w:id="30"/>
    <w:p>
      <w:pPr>
        <w:spacing w:after="0"/>
        <w:ind w:left="0"/>
        <w:jc w:val="both"/>
      </w:pPr>
      <w:r>
        <w:rPr>
          <w:rFonts w:ascii="Times New Roman"/>
          <w:b w:val="false"/>
          <w:i w:val="false"/>
          <w:color w:val="000000"/>
          <w:sz w:val="28"/>
        </w:rPr>
        <w:t>
      1) несоответствия клиента требованиям, указанным в пункте 3 Требований;</w:t>
      </w:r>
    </w:p>
    <w:bookmarkEnd w:id="30"/>
    <w:bookmarkStart w:name="z41" w:id="31"/>
    <w:p>
      <w:pPr>
        <w:spacing w:after="0"/>
        <w:ind w:left="0"/>
        <w:jc w:val="both"/>
      </w:pPr>
      <w:r>
        <w:rPr>
          <w:rFonts w:ascii="Times New Roman"/>
          <w:b w:val="false"/>
          <w:i w:val="false"/>
          <w:color w:val="000000"/>
          <w:sz w:val="28"/>
        </w:rPr>
        <w:t>
      2) невыполнения условий, указанных в подпункте 2) пункта 4 и пункте 6 Требований;</w:t>
      </w:r>
    </w:p>
    <w:bookmarkEnd w:id="31"/>
    <w:bookmarkStart w:name="z42" w:id="32"/>
    <w:p>
      <w:pPr>
        <w:spacing w:after="0"/>
        <w:ind w:left="0"/>
        <w:jc w:val="both"/>
      </w:pPr>
      <w:r>
        <w:rPr>
          <w:rFonts w:ascii="Times New Roman"/>
          <w:b w:val="false"/>
          <w:i w:val="false"/>
          <w:color w:val="000000"/>
          <w:sz w:val="28"/>
        </w:rPr>
        <w:t>
      3) при наличии подозрений у субъекта финансового мониторинга о совершении клиентом операции в целях ОДФТ;</w:t>
      </w:r>
    </w:p>
    <w:bookmarkEnd w:id="32"/>
    <w:bookmarkStart w:name="z43" w:id="33"/>
    <w:p>
      <w:pPr>
        <w:spacing w:after="0"/>
        <w:ind w:left="0"/>
        <w:jc w:val="both"/>
      </w:pPr>
      <w:r>
        <w:rPr>
          <w:rFonts w:ascii="Times New Roman"/>
          <w:b w:val="false"/>
          <w:i w:val="false"/>
          <w:color w:val="000000"/>
          <w:sz w:val="28"/>
        </w:rPr>
        <w:t xml:space="preserve">
      4) по иным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 о ПОДФТ</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3"/>
    <w:bookmarkStart w:name="z44" w:id="34"/>
    <w:p>
      <w:pPr>
        <w:spacing w:after="0"/>
        <w:ind w:left="0"/>
        <w:jc w:val="both"/>
      </w:pPr>
      <w:r>
        <w:rPr>
          <w:rFonts w:ascii="Times New Roman"/>
          <w:b w:val="false"/>
          <w:i w:val="false"/>
          <w:color w:val="000000"/>
          <w:sz w:val="28"/>
        </w:rPr>
        <w:t>
      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3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 и дополнения:</w:t>
      </w:r>
    </w:p>
    <w:bookmarkEnd w:id="35"/>
    <w:bookmarkStart w:name="z44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42" w:id="37"/>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37"/>
    <w:bookmarkStart w:name="z443" w:id="38"/>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38"/>
    <w:bookmarkStart w:name="z444" w:id="39"/>
    <w:p>
      <w:pPr>
        <w:spacing w:after="0"/>
        <w:ind w:left="0"/>
        <w:jc w:val="both"/>
      </w:pPr>
      <w:r>
        <w:rPr>
          <w:rFonts w:ascii="Times New Roman"/>
          <w:b w:val="false"/>
          <w:i w:val="false"/>
          <w:color w:val="000000"/>
          <w:sz w:val="28"/>
        </w:rPr>
        <w:t>
      2) иностранные финансовые организации;</w:t>
      </w:r>
    </w:p>
    <w:bookmarkEnd w:id="39"/>
    <w:bookmarkStart w:name="z445" w:id="40"/>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40"/>
    <w:bookmarkStart w:name="z446" w:id="41"/>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1"/>
    <w:bookmarkStart w:name="z447" w:id="42"/>
    <w:p>
      <w:pPr>
        <w:spacing w:after="0"/>
        <w:ind w:left="0"/>
        <w:jc w:val="both"/>
      </w:pPr>
      <w:r>
        <w:rPr>
          <w:rFonts w:ascii="Times New Roman"/>
          <w:b w:val="false"/>
          <w:i w:val="false"/>
          <w:color w:val="000000"/>
          <w:sz w:val="28"/>
        </w:rPr>
        <w:t>
      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 установленные банком);</w:t>
      </w:r>
    </w:p>
    <w:bookmarkEnd w:id="42"/>
    <w:bookmarkStart w:name="z448" w:id="43"/>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43"/>
    <w:bookmarkStart w:name="z449" w:id="44"/>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44"/>
    <w:bookmarkStart w:name="z450" w:id="45"/>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45"/>
    <w:bookmarkStart w:name="z451" w:id="46"/>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46"/>
    <w:bookmarkStart w:name="z452" w:id="47"/>
    <w:p>
      <w:pPr>
        <w:spacing w:after="0"/>
        <w:ind w:left="0"/>
        <w:jc w:val="both"/>
      </w:pPr>
      <w:r>
        <w:rPr>
          <w:rFonts w:ascii="Times New Roman"/>
          <w:b w:val="false"/>
          <w:i w:val="false"/>
          <w:color w:val="000000"/>
          <w:sz w:val="28"/>
        </w:rPr>
        <w:t xml:space="preserve">
      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подпункте 7)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End w:id="47"/>
    <w:bookmarkStart w:name="z453" w:id="48"/>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 установленные банком);</w:t>
      </w:r>
    </w:p>
    <w:bookmarkEnd w:id="48"/>
    <w:bookmarkStart w:name="z454" w:id="49"/>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49"/>
    <w:bookmarkStart w:name="z455" w:id="50"/>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50"/>
    <w:bookmarkStart w:name="z456" w:id="51"/>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51"/>
    <w:bookmarkStart w:name="z457" w:id="52"/>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52"/>
    <w:bookmarkStart w:name="z458" w:id="53"/>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53"/>
    <w:bookmarkStart w:name="z459" w:id="54"/>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54"/>
    <w:bookmarkStart w:name="z460" w:id="55"/>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17 Требований, а также расположенные в Республике Казахстан филиалы и представительства таких лиц;</w:t>
      </w:r>
    </w:p>
    <w:bookmarkEnd w:id="55"/>
    <w:bookmarkStart w:name="z461" w:id="56"/>
    <w:p>
      <w:pPr>
        <w:spacing w:after="0"/>
        <w:ind w:left="0"/>
        <w:jc w:val="both"/>
      </w:pPr>
      <w:r>
        <w:rPr>
          <w:rFonts w:ascii="Times New Roman"/>
          <w:b w:val="false"/>
          <w:i w:val="false"/>
          <w:color w:val="000000"/>
          <w:sz w:val="28"/>
        </w:rPr>
        <w:t>
      13) клиент, в отношении которого имеются основания для сомнения в достоверности полученных данных;</w:t>
      </w:r>
    </w:p>
    <w:bookmarkEnd w:id="56"/>
    <w:bookmarkStart w:name="z462" w:id="57"/>
    <w:p>
      <w:pPr>
        <w:spacing w:after="0"/>
        <w:ind w:left="0"/>
        <w:jc w:val="both"/>
      </w:pPr>
      <w:r>
        <w:rPr>
          <w:rFonts w:ascii="Times New Roman"/>
          <w:b w:val="false"/>
          <w:i w:val="false"/>
          <w:color w:val="000000"/>
          <w:sz w:val="28"/>
        </w:rPr>
        <w:t xml:space="preserve">
      14) клиент совершает действия, направленные на уклонение от процедур надлежащей проверки клиента, предусмотренных </w:t>
      </w:r>
      <w:r>
        <w:rPr>
          <w:rFonts w:ascii="Times New Roman"/>
          <w:b w:val="false"/>
          <w:i w:val="false"/>
          <w:color w:val="000000"/>
          <w:sz w:val="28"/>
        </w:rPr>
        <w:t>Законом о ПОД/ФТ</w:t>
      </w:r>
      <w:r>
        <w:rPr>
          <w:rFonts w:ascii="Times New Roman"/>
          <w:b w:val="false"/>
          <w:i w:val="false"/>
          <w:color w:val="000000"/>
          <w:sz w:val="28"/>
        </w:rPr>
        <w:t>;</w:t>
      </w:r>
    </w:p>
    <w:bookmarkEnd w:id="57"/>
    <w:bookmarkStart w:name="z463" w:id="58"/>
    <w:p>
      <w:pPr>
        <w:spacing w:after="0"/>
        <w:ind w:left="0"/>
        <w:jc w:val="both"/>
      </w:pPr>
      <w:r>
        <w:rPr>
          <w:rFonts w:ascii="Times New Roman"/>
          <w:b w:val="false"/>
          <w:i w:val="false"/>
          <w:color w:val="000000"/>
          <w:sz w:val="28"/>
        </w:rPr>
        <w:t>
      15) лица, осуществляющие выпуск и обращение обеспеченных цифровых активов;</w:t>
      </w:r>
    </w:p>
    <w:bookmarkEnd w:id="58"/>
    <w:bookmarkStart w:name="z464" w:id="59"/>
    <w:p>
      <w:pPr>
        <w:spacing w:after="0"/>
        <w:ind w:left="0"/>
        <w:jc w:val="both"/>
      </w:pPr>
      <w:r>
        <w:rPr>
          <w:rFonts w:ascii="Times New Roman"/>
          <w:b w:val="false"/>
          <w:i w:val="false"/>
          <w:color w:val="000000"/>
          <w:sz w:val="28"/>
        </w:rPr>
        <w:t xml:space="preserve">
      16) лица, осуществляющие выпуск и оборот необеспеченных цифровых активов на территории Международного финансового центра "Астана"; </w:t>
      </w:r>
    </w:p>
    <w:bookmarkEnd w:id="59"/>
    <w:bookmarkStart w:name="z465" w:id="60"/>
    <w:p>
      <w:pPr>
        <w:spacing w:after="0"/>
        <w:ind w:left="0"/>
        <w:jc w:val="both"/>
      </w:pPr>
      <w:r>
        <w:rPr>
          <w:rFonts w:ascii="Times New Roman"/>
          <w:b w:val="false"/>
          <w:i w:val="false"/>
          <w:color w:val="000000"/>
          <w:sz w:val="28"/>
        </w:rPr>
        <w:t xml:space="preserve">
      17) клиенты, являющиеся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(далее – Гражданский кодекс), дополнительных платежных карточек, выпущенных на имя детей;</w:t>
      </w:r>
    </w:p>
    <w:bookmarkEnd w:id="60"/>
    <w:bookmarkStart w:name="z466" w:id="61"/>
    <w:p>
      <w:pPr>
        <w:spacing w:after="0"/>
        <w:ind w:left="0"/>
        <w:jc w:val="both"/>
      </w:pPr>
      <w:r>
        <w:rPr>
          <w:rFonts w:ascii="Times New Roman"/>
          <w:b w:val="false"/>
          <w:i w:val="false"/>
          <w:color w:val="000000"/>
          <w:sz w:val="28"/>
        </w:rPr>
        <w:t xml:space="preserve">
      18) клиенты, являющиеся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61"/>
    <w:bookmarkStart w:name="z467" w:id="62"/>
    <w:p>
      <w:pPr>
        <w:spacing w:after="0"/>
        <w:ind w:left="0"/>
        <w:jc w:val="both"/>
      </w:pPr>
      <w:r>
        <w:rPr>
          <w:rFonts w:ascii="Times New Roman"/>
          <w:b w:val="false"/>
          <w:i w:val="false"/>
          <w:color w:val="000000"/>
          <w:sz w:val="28"/>
        </w:rPr>
        <w:t>
      19) резиденты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62"/>
    <w:bookmarkStart w:name="z468" w:id="63"/>
    <w:p>
      <w:pPr>
        <w:spacing w:after="0"/>
        <w:ind w:left="0"/>
        <w:jc w:val="both"/>
      </w:pPr>
      <w:r>
        <w:rPr>
          <w:rFonts w:ascii="Times New Roman"/>
          <w:b w:val="false"/>
          <w:i w:val="false"/>
          <w:color w:val="000000"/>
          <w:sz w:val="28"/>
        </w:rPr>
        <w:t>
      20)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bookmarkEnd w:id="63"/>
    <w:bookmarkStart w:name="z469" w:id="64"/>
    <w:p>
      <w:pPr>
        <w:spacing w:after="0"/>
        <w:ind w:left="0"/>
        <w:jc w:val="both"/>
      </w:pPr>
      <w:r>
        <w:rPr>
          <w:rFonts w:ascii="Times New Roman"/>
          <w:b w:val="false"/>
          <w:i w:val="false"/>
          <w:color w:val="000000"/>
          <w:sz w:val="28"/>
        </w:rPr>
        <w:t>
      21) клиенты, относящиеся к категории лиц в возрасте от четырнадцати до двадцати пяти лет, при наличии одного либо в совокупности следующих условий:</w:t>
      </w:r>
    </w:p>
    <w:bookmarkEnd w:id="64"/>
    <w:bookmarkStart w:name="z470" w:id="65"/>
    <w:p>
      <w:pPr>
        <w:spacing w:after="0"/>
        <w:ind w:left="0"/>
        <w:jc w:val="both"/>
      </w:pPr>
      <w:r>
        <w:rPr>
          <w:rFonts w:ascii="Times New Roman"/>
          <w:b w:val="false"/>
          <w:i w:val="false"/>
          <w:color w:val="000000"/>
          <w:sz w:val="28"/>
        </w:rPr>
        <w:t>
      по банковскому счету проводятся систематические переводы денег между физическими лицами (P2P) и отсутствуют иные операции;</w:t>
      </w:r>
    </w:p>
    <w:bookmarkEnd w:id="65"/>
    <w:bookmarkStart w:name="z471" w:id="66"/>
    <w:p>
      <w:pPr>
        <w:spacing w:after="0"/>
        <w:ind w:left="0"/>
        <w:jc w:val="both"/>
      </w:pPr>
      <w:r>
        <w:rPr>
          <w:rFonts w:ascii="Times New Roman"/>
          <w:b w:val="false"/>
          <w:i w:val="false"/>
          <w:color w:val="000000"/>
          <w:sz w:val="28"/>
        </w:rPr>
        <w:t>
      по банковском счету проводятся систематические платежи на крупные суммы по пополнению абонентского номера сотовой связи;</w:t>
      </w:r>
    </w:p>
    <w:bookmarkEnd w:id="66"/>
    <w:bookmarkStart w:name="z472" w:id="67"/>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67"/>
    <w:bookmarkStart w:name="z473" w:id="68"/>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68"/>
    <w:bookmarkStart w:name="z474" w:id="69"/>
    <w:p>
      <w:pPr>
        <w:spacing w:after="0"/>
        <w:ind w:left="0"/>
        <w:jc w:val="both"/>
      </w:pPr>
      <w:r>
        <w:rPr>
          <w:rFonts w:ascii="Times New Roman"/>
          <w:b w:val="false"/>
          <w:i w:val="false"/>
          <w:color w:val="000000"/>
          <w:sz w:val="28"/>
        </w:rPr>
        <w:t>
      22)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6" w:id="70"/>
    <w:p>
      <w:pPr>
        <w:spacing w:after="0"/>
        <w:ind w:left="0"/>
        <w:jc w:val="both"/>
      </w:pPr>
      <w:r>
        <w:rPr>
          <w:rFonts w:ascii="Times New Roman"/>
          <w:b w:val="false"/>
          <w:i w:val="false"/>
          <w:color w:val="000000"/>
          <w:sz w:val="28"/>
        </w:rPr>
        <w:t>
      "22. Программа идентификации клиента, его представителя и бенефициарного собственника включает, но не ограничивается:</w:t>
      </w:r>
    </w:p>
    <w:bookmarkEnd w:id="70"/>
    <w:bookmarkStart w:name="z477" w:id="71"/>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71"/>
    <w:bookmarkStart w:name="z478" w:id="72"/>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72"/>
    <w:bookmarkStart w:name="z479" w:id="73"/>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73"/>
    <w:bookmarkStart w:name="z480" w:id="74"/>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74"/>
    <w:bookmarkStart w:name="z481" w:id="75"/>
    <w:p>
      <w:pPr>
        <w:spacing w:after="0"/>
        <w:ind w:left="0"/>
        <w:jc w:val="both"/>
      </w:pPr>
      <w:r>
        <w:rPr>
          <w:rFonts w:ascii="Times New Roman"/>
          <w:b w:val="false"/>
          <w:i w:val="false"/>
          <w:color w:val="000000"/>
          <w:sz w:val="28"/>
        </w:rPr>
        <w:t xml:space="preserve">
      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статьями 12 (далее – Перечень) и 12-1 (далее – Перечень ФРОМУ) </w:t>
      </w:r>
      <w:r>
        <w:rPr>
          <w:rFonts w:ascii="Times New Roman"/>
          <w:b w:val="false"/>
          <w:i w:val="false"/>
          <w:color w:val="000000"/>
          <w:sz w:val="28"/>
        </w:rPr>
        <w:t>Закона о ПОД/ФТ</w:t>
      </w:r>
      <w:r>
        <w:rPr>
          <w:rFonts w:ascii="Times New Roman"/>
          <w:b w:val="false"/>
          <w:i w:val="false"/>
          <w:color w:val="000000"/>
          <w:sz w:val="28"/>
        </w:rPr>
        <w:t>;</w:t>
      </w:r>
    </w:p>
    <w:bookmarkEnd w:id="75"/>
    <w:bookmarkStart w:name="z482" w:id="76"/>
    <w:p>
      <w:pPr>
        <w:spacing w:after="0"/>
        <w:ind w:left="0"/>
        <w:jc w:val="both"/>
      </w:pPr>
      <w:r>
        <w:rPr>
          <w:rFonts w:ascii="Times New Roman"/>
          <w:b w:val="false"/>
          <w:i w:val="false"/>
          <w:color w:val="000000"/>
          <w:sz w:val="28"/>
        </w:rPr>
        <w:t>
      6) порядок прекращения действия целевых финансовых санкций при исключении сведений о клиенте (его представителе) и бенефициарного собственника из Перечня и Перечня ФРОМУ;</w:t>
      </w:r>
    </w:p>
    <w:bookmarkEnd w:id="76"/>
    <w:bookmarkStart w:name="z483" w:id="77"/>
    <w:p>
      <w:pPr>
        <w:spacing w:after="0"/>
        <w:ind w:left="0"/>
        <w:jc w:val="both"/>
      </w:pPr>
      <w:r>
        <w:rPr>
          <w:rFonts w:ascii="Times New Roman"/>
          <w:b w:val="false"/>
          <w:i w:val="false"/>
          <w:color w:val="000000"/>
          <w:sz w:val="28"/>
        </w:rPr>
        <w:t>
      7) особенности идентификации при дистанционном установлении деловых отношений (без личного присутствия клиента или его представителя);</w:t>
      </w:r>
    </w:p>
    <w:bookmarkEnd w:id="77"/>
    <w:bookmarkStart w:name="z484" w:id="78"/>
    <w:p>
      <w:pPr>
        <w:spacing w:after="0"/>
        <w:ind w:left="0"/>
        <w:jc w:val="both"/>
      </w:pPr>
      <w:r>
        <w:rPr>
          <w:rFonts w:ascii="Times New Roman"/>
          <w:b w:val="false"/>
          <w:i w:val="false"/>
          <w:color w:val="000000"/>
          <w:sz w:val="28"/>
        </w:rPr>
        <w:t>
      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банковским конгломератом, в который входит банк (при наличии);</w:t>
      </w:r>
    </w:p>
    <w:bookmarkEnd w:id="78"/>
    <w:bookmarkStart w:name="z485" w:id="79"/>
    <w:p>
      <w:pPr>
        <w:spacing w:after="0"/>
        <w:ind w:left="0"/>
        <w:jc w:val="both"/>
      </w:pPr>
      <w:r>
        <w:rPr>
          <w:rFonts w:ascii="Times New Roman"/>
          <w:b w:val="false"/>
          <w:i w:val="false"/>
          <w:color w:val="000000"/>
          <w:sz w:val="28"/>
        </w:rPr>
        <w:t>
      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79"/>
    <w:bookmarkStart w:name="z486" w:id="80"/>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bookmarkEnd w:id="80"/>
    <w:bookmarkStart w:name="z487" w:id="81"/>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81"/>
    <w:bookmarkStart w:name="z488" w:id="82"/>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End w:id="82"/>
    <w:bookmarkStart w:name="z489" w:id="83"/>
    <w:p>
      <w:pPr>
        <w:spacing w:after="0"/>
        <w:ind w:left="0"/>
        <w:jc w:val="both"/>
      </w:pPr>
      <w:r>
        <w:rPr>
          <w:rFonts w:ascii="Times New Roman"/>
          <w:b w:val="false"/>
          <w:i w:val="false"/>
          <w:color w:val="000000"/>
          <w:sz w:val="28"/>
        </w:rPr>
        <w:t xml:space="preserve">
      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83"/>
    <w:bookmarkStart w:name="z490" w:id="84"/>
    <w:p>
      <w:pPr>
        <w:spacing w:after="0"/>
        <w:ind w:left="0"/>
        <w:jc w:val="both"/>
      </w:pPr>
      <w:r>
        <w:rPr>
          <w:rFonts w:ascii="Times New Roman"/>
          <w:b w:val="false"/>
          <w:i w:val="false"/>
          <w:color w:val="000000"/>
          <w:sz w:val="28"/>
        </w:rPr>
        <w:t>
      14)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на основании судебного акта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bookmarkEnd w:id="84"/>
    <w:bookmarkStart w:name="z491" w:id="85"/>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85"/>
    <w:bookmarkStart w:name="z492" w:id="86"/>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86"/>
    <w:bookmarkStart w:name="z493" w:id="87"/>
    <w:p>
      <w:pPr>
        <w:spacing w:after="0"/>
        <w:ind w:left="0"/>
        <w:jc w:val="both"/>
      </w:pPr>
      <w:r>
        <w:rPr>
          <w:rFonts w:ascii="Times New Roman"/>
          <w:b w:val="false"/>
          <w:i w:val="false"/>
          <w:color w:val="000000"/>
          <w:sz w:val="28"/>
        </w:rPr>
        <w:t>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w:t>
      </w:r>
    </w:p>
    <w:bookmarkEnd w:id="87"/>
    <w:bookmarkStart w:name="z494" w:id="88"/>
    <w:p>
      <w:pPr>
        <w:spacing w:after="0"/>
        <w:ind w:left="0"/>
        <w:jc w:val="both"/>
      </w:pPr>
      <w:r>
        <w:rPr>
          <w:rFonts w:ascii="Times New Roman"/>
          <w:b w:val="false"/>
          <w:i w:val="false"/>
          <w:color w:val="000000"/>
          <w:sz w:val="28"/>
        </w:rPr>
        <w:t>
      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(аутентификацию) клиента с обязательным проведением биометрической идентификации клиента. Для проведения биометрической идентификации клиента допускается использование услуг Центра обмена идентификационными данными (операционного центра межбанковской системы переводов денег, обеспечивающего взаимодействие с банками по обмену данными клиентов из доступных источников для проведения процедур идентификации клиентов).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и финансированию терроризма.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88"/>
    <w:bookmarkStart w:name="z495" w:id="89"/>
    <w:p>
      <w:pPr>
        <w:spacing w:after="0"/>
        <w:ind w:left="0"/>
        <w:jc w:val="both"/>
      </w:pPr>
      <w:r>
        <w:rPr>
          <w:rFonts w:ascii="Times New Roman"/>
          <w:b w:val="false"/>
          <w:i w:val="false"/>
          <w:color w:val="000000"/>
          <w:sz w:val="28"/>
        </w:rPr>
        <w:t>
      При дистанционном установлении деловых отношений с клиентом и (или) оказании ему электронных банковских услуг банк обеспечивает контроль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одного абонентского номера устройства сотовой связи, присвоенного оператором связи – резидентом Республики Казахстан и зарегистрированного за клиентом или супругом (супругой), близким родственником клиента.</w:t>
      </w:r>
    </w:p>
    <w:bookmarkEnd w:id="89"/>
    <w:bookmarkStart w:name="z496" w:id="90"/>
    <w:p>
      <w:pPr>
        <w:spacing w:after="0"/>
        <w:ind w:left="0"/>
        <w:jc w:val="both"/>
      </w:pPr>
      <w:r>
        <w:rPr>
          <w:rFonts w:ascii="Times New Roman"/>
          <w:b w:val="false"/>
          <w:i w:val="false"/>
          <w:color w:val="000000"/>
          <w:sz w:val="28"/>
        </w:rPr>
        <w:t>
      Предоставление электронных банковских услуг клиенту при использовании мобильного приложения осуществляется через абонентское устройство сотовой связи, идентифицированное банком в соответствии с порядком, определенным внутренними правилами банка.</w:t>
      </w:r>
    </w:p>
    <w:bookmarkEnd w:id="90"/>
    <w:bookmarkStart w:name="z497" w:id="91"/>
    <w:p>
      <w:pPr>
        <w:spacing w:after="0"/>
        <w:ind w:left="0"/>
        <w:jc w:val="both"/>
      </w:pPr>
      <w:r>
        <w:rPr>
          <w:rFonts w:ascii="Times New Roman"/>
          <w:b w:val="false"/>
          <w:i w:val="false"/>
          <w:color w:val="000000"/>
          <w:sz w:val="28"/>
        </w:rPr>
        <w:t xml:space="preserve">
      В отношении клиентов, относящихся к категории лиц в возрасте до шестнадцати лет операции клиента на крупные суммы, размер которых определяется в соответствии с внутренними документами банка, при получении электронных банковских услуг верифицируются родителями или иными законными представителями. </w:t>
      </w:r>
    </w:p>
    <w:bookmarkEnd w:id="91"/>
    <w:bookmarkStart w:name="z498" w:id="92"/>
    <w:p>
      <w:pPr>
        <w:spacing w:after="0"/>
        <w:ind w:left="0"/>
        <w:jc w:val="both"/>
      </w:pPr>
      <w:r>
        <w:rPr>
          <w:rFonts w:ascii="Times New Roman"/>
          <w:b w:val="false"/>
          <w:i w:val="false"/>
          <w:color w:val="000000"/>
          <w:sz w:val="28"/>
        </w:rPr>
        <w:t xml:space="preserve">
      Банк при выпуске клиенту более одной дебетной карточки,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92"/>
    <w:bookmarkStart w:name="z499" w:id="93"/>
    <w:p>
      <w:pPr>
        <w:spacing w:after="0"/>
        <w:ind w:left="0"/>
        <w:jc w:val="both"/>
      </w:pPr>
      <w:r>
        <w:rPr>
          <w:rFonts w:ascii="Times New Roman"/>
          <w:b w:val="false"/>
          <w:i w:val="false"/>
          <w:color w:val="000000"/>
          <w:sz w:val="28"/>
        </w:rPr>
        <w:t>
      1) осуществляет мониторинг движения денег по банковским счетам клиента и при выявлении по банковским счетам систематических переводов денег между физическими лицами (P2P), а также аномальных операций, нехарактерных для указанного клиента либо категории (группе) клиентов, в соответствии с внутренними документами банка определяет целесообразность присвоения клиенту высокого уровня риска;</w:t>
      </w:r>
    </w:p>
    <w:bookmarkEnd w:id="93"/>
    <w:bookmarkStart w:name="z500" w:id="94"/>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bookmarkEnd w:id="94"/>
    <w:bookmarkStart w:name="z501" w:id="95"/>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 иному лицу применение в отношении клиентов банка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банк разрабатывает правила взаимодействия с такими лицами, которые включают:</w:t>
      </w:r>
    </w:p>
    <w:bookmarkEnd w:id="95"/>
    <w:bookmarkStart w:name="z502" w:id="96"/>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96"/>
    <w:bookmarkStart w:name="z503" w:id="97"/>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97"/>
    <w:bookmarkStart w:name="z504" w:id="98"/>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98"/>
    <w:bookmarkStart w:name="z505" w:id="99"/>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99"/>
    <w:bookmarkStart w:name="z506" w:id="100"/>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100"/>
    <w:bookmarkStart w:name="z507" w:id="101"/>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101"/>
    <w:bookmarkStart w:name="z508" w:id="102"/>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102"/>
    <w:bookmarkStart w:name="z509" w:id="103"/>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03"/>
    <w:bookmarkStart w:name="z510" w:id="104"/>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104"/>
    <w:bookmarkStart w:name="z511" w:id="105"/>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105"/>
    <w:bookmarkStart w:name="z512" w:id="106"/>
    <w:p>
      <w:pPr>
        <w:spacing w:after="0"/>
        <w:ind w:left="0"/>
        <w:jc w:val="both"/>
      </w:pPr>
      <w:r>
        <w:rPr>
          <w:rFonts w:ascii="Times New Roman"/>
          <w:b w:val="false"/>
          <w:i w:val="false"/>
          <w:color w:val="000000"/>
          <w:sz w:val="28"/>
        </w:rPr>
        <w:t>
      дополнить пунктами 22-1 и 22-2 следующего содержания:</w:t>
      </w:r>
    </w:p>
    <w:bookmarkEnd w:id="106"/>
    <w:bookmarkStart w:name="z513" w:id="107"/>
    <w:p>
      <w:pPr>
        <w:spacing w:after="0"/>
        <w:ind w:left="0"/>
        <w:jc w:val="both"/>
      </w:pPr>
      <w:r>
        <w:rPr>
          <w:rFonts w:ascii="Times New Roman"/>
          <w:b w:val="false"/>
          <w:i w:val="false"/>
          <w:color w:val="000000"/>
          <w:sz w:val="28"/>
        </w:rPr>
        <w:t>
      "22-1. При открытии банковского счета и (или) выпуске платежной карточки нерезиденту Республики Казахстан банк:</w:t>
      </w:r>
    </w:p>
    <w:bookmarkEnd w:id="107"/>
    <w:bookmarkStart w:name="z514" w:id="108"/>
    <w:p>
      <w:pPr>
        <w:spacing w:after="0"/>
        <w:ind w:left="0"/>
        <w:jc w:val="both"/>
      </w:pPr>
      <w:r>
        <w:rPr>
          <w:rFonts w:ascii="Times New Roman"/>
          <w:b w:val="false"/>
          <w:i w:val="false"/>
          <w:color w:val="000000"/>
          <w:sz w:val="28"/>
        </w:rPr>
        <w:t>
      1) проверяет документы клиента, подтверждающие обоснованность нахождения в Республике Казахстан, к которым относятся с учетом применимости по типу клиента и (или) виду банковского счета, но не ограничиваясь, паспорт с отметкой о пересечении государственной границы Республики Казахстан, регистрационное свидетельство о присвоении индивидуального идентификационного номера, копия заявления, поданного в уполномоченный государственный орган, о выдаче разрешения трудовому мигранту, нотариально заверенная копия трудового договора или договора обучения, нотариально заверенная копия вида на жительство иностранца в Республике Казахстан, копия квитанции об уплате предварительного платежа по индивидуальному подоходному налогу;</w:t>
      </w:r>
    </w:p>
    <w:bookmarkEnd w:id="108"/>
    <w:bookmarkStart w:name="z515" w:id="109"/>
    <w:p>
      <w:pPr>
        <w:spacing w:after="0"/>
        <w:ind w:left="0"/>
        <w:jc w:val="both"/>
      </w:pPr>
      <w:r>
        <w:rPr>
          <w:rFonts w:ascii="Times New Roman"/>
          <w:b w:val="false"/>
          <w:i w:val="false"/>
          <w:color w:val="000000"/>
          <w:sz w:val="28"/>
        </w:rPr>
        <w:t>
      2) проводит анализ заполненного клиентом опросника, форма которого определяется банком и содержит, не ограничиваясь, сведения об обоснованности пребывания клиента в Республике Казахстан, подтверждаемые документами клиента в рамках его усиленной надлежащей проверки, цели прибытия в Республику Казахстан, профессиональной деятельности клиента, цели открытия банковского счета (выпуска платежной карточки), источнике финансирования совершаемых операций, при выпуске платежной карточки планируемых международных переводах, планируемом предоставлении доступа к банковскому счету для третьего лица (в том числе посредством мобильного приложения и онлайн-банкинга), наличии банковских счетов в других банках Республики Казахстан и цели их открытия, IMEI коде абонентского устройства сотовой связи клиента (при наличии), подтверждение клиента о принятии решения об открытии банковского счета самостоятельно без воздействия третьих лиц.</w:t>
      </w:r>
    </w:p>
    <w:bookmarkEnd w:id="109"/>
    <w:bookmarkStart w:name="z516" w:id="110"/>
    <w:p>
      <w:pPr>
        <w:spacing w:after="0"/>
        <w:ind w:left="0"/>
        <w:jc w:val="both"/>
      </w:pPr>
      <w:r>
        <w:rPr>
          <w:rFonts w:ascii="Times New Roman"/>
          <w:b w:val="false"/>
          <w:i w:val="false"/>
          <w:color w:val="000000"/>
          <w:sz w:val="28"/>
        </w:rPr>
        <w:t>
      22-2. Банк по итогам анализа документов и опросника, указанных в подпунктах 1) и 2) пункта 22-1 Требований, и с учетом определения уровня риска клиента (группы клиентов) в соответствии с пунктом 20 Требований и внутренними документами банка, определяет подверженность нерезидента Республики Казахстан высокому риску ОД/ФТ, рискам мошенничества и противоправных инцидентов, в том числе, на основе фактора незаконного производства, оборота и (или) транзита наркотиков.</w:t>
      </w:r>
    </w:p>
    <w:bookmarkEnd w:id="110"/>
    <w:bookmarkStart w:name="z517" w:id="111"/>
    <w:p>
      <w:pPr>
        <w:spacing w:after="0"/>
        <w:ind w:left="0"/>
        <w:jc w:val="both"/>
      </w:pPr>
      <w:r>
        <w:rPr>
          <w:rFonts w:ascii="Times New Roman"/>
          <w:b w:val="false"/>
          <w:i w:val="false"/>
          <w:color w:val="000000"/>
          <w:sz w:val="28"/>
        </w:rPr>
        <w:t>
      В отношении нерезидентов Республики Казахстан, по которым имеются подозрения о подверженности высокому риску ОД/ФТ, рискам мошенничества и противоправных инцидентов в соответствии с оценочными показателями, определенными банком в правилах внутреннего контроля:</w:t>
      </w:r>
    </w:p>
    <w:bookmarkEnd w:id="111"/>
    <w:bookmarkStart w:name="z518" w:id="112"/>
    <w:p>
      <w:pPr>
        <w:spacing w:after="0"/>
        <w:ind w:left="0"/>
        <w:jc w:val="both"/>
      </w:pPr>
      <w:r>
        <w:rPr>
          <w:rFonts w:ascii="Times New Roman"/>
          <w:b w:val="false"/>
          <w:i w:val="false"/>
          <w:color w:val="000000"/>
          <w:sz w:val="28"/>
        </w:rPr>
        <w:t>
      не допускается дистанционное установление деловых отношений или через представителя, продление таких деловых отношений, а также выпуск и перевыпуск платежной карточки дистанционным способом и (или) через представителя;</w:t>
      </w:r>
    </w:p>
    <w:bookmarkEnd w:id="112"/>
    <w:bookmarkStart w:name="z519" w:id="113"/>
    <w:p>
      <w:pPr>
        <w:spacing w:after="0"/>
        <w:ind w:left="0"/>
        <w:jc w:val="both"/>
      </w:pPr>
      <w:r>
        <w:rPr>
          <w:rFonts w:ascii="Times New Roman"/>
          <w:b w:val="false"/>
          <w:i w:val="false"/>
          <w:color w:val="000000"/>
          <w:sz w:val="28"/>
        </w:rPr>
        <w:t>
      при установлении деловых отношений и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применяется двухфакторная идентификация (аутентификация) клиента с обязательным проведением биометрической идентификация клиента с фотоизображением клиента, размещенным в паспорте, с последующим проведением на периодической основе не реже одного раза в месяц подтверждения биометрической аутентификации через онлайн-банкинг или мобильное приложение при их применении клиентом;</w:t>
      </w:r>
    </w:p>
    <w:bookmarkEnd w:id="113"/>
    <w:bookmarkStart w:name="z520" w:id="114"/>
    <w:p>
      <w:pPr>
        <w:spacing w:after="0"/>
        <w:ind w:left="0"/>
        <w:jc w:val="both"/>
      </w:pPr>
      <w:r>
        <w:rPr>
          <w:rFonts w:ascii="Times New Roman"/>
          <w:b w:val="false"/>
          <w:i w:val="false"/>
          <w:color w:val="000000"/>
          <w:sz w:val="28"/>
        </w:rPr>
        <w:t xml:space="preserve">
      не допускается выпуск и перевыпуск более одной платежной карточки, за исключением дебетных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114"/>
    <w:bookmarkStart w:name="z521" w:id="115"/>
    <w:p>
      <w:pPr>
        <w:spacing w:after="0"/>
        <w:ind w:left="0"/>
        <w:jc w:val="both"/>
      </w:pPr>
      <w:r>
        <w:rPr>
          <w:rFonts w:ascii="Times New Roman"/>
          <w:b w:val="false"/>
          <w:i w:val="false"/>
          <w:color w:val="000000"/>
          <w:sz w:val="28"/>
        </w:rPr>
        <w:t xml:space="preserve">
      срок действия выпущенной дебетной карточки не превышает 12 (двенадцать) календарных месяцев,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115"/>
    <w:bookmarkStart w:name="z522" w:id="116"/>
    <w:p>
      <w:pPr>
        <w:spacing w:after="0"/>
        <w:ind w:left="0"/>
        <w:jc w:val="both"/>
      </w:pPr>
      <w:r>
        <w:rPr>
          <w:rFonts w:ascii="Times New Roman"/>
          <w:b w:val="false"/>
          <w:i w:val="false"/>
          <w:color w:val="000000"/>
          <w:sz w:val="28"/>
        </w:rPr>
        <w:t>
      в течение трех последовательных месяцев банком проводится мониторинг движения денег по банковскому счету клиента, по которому осуществляются операции с использованием платежной карточки, на предмет соответствия цели открытия банковского счета (выпуска платежной карточки), обозначенной клиентом в опроснике, а также на наличие по банковскому счету систематических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Систематичность переводов денег определяется банком в соответствии с внутренними документами банка. При выявлении несоответствий характера операций по банковскому счету сведениям, указанным в опроснике, и выявлении систематичности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на рассмотрение уполномоченного или уполномоченного коллегиального органа банка выносится вопрос о целесообразности прекращении деловых отношений с клиентом.";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24" w:id="117"/>
    <w:p>
      <w:pPr>
        <w:spacing w:after="0"/>
        <w:ind w:left="0"/>
        <w:jc w:val="both"/>
      </w:pPr>
      <w:r>
        <w:rPr>
          <w:rFonts w:ascii="Times New Roman"/>
          <w:b w:val="false"/>
          <w:i w:val="false"/>
          <w:color w:val="000000"/>
          <w:sz w:val="28"/>
        </w:rPr>
        <w:t>
      "27.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w:t>
      </w:r>
    </w:p>
    <w:bookmarkEnd w:id="117"/>
    <w:bookmarkStart w:name="z525" w:id="118"/>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18"/>
    <w:bookmarkStart w:name="z526" w:id="119"/>
    <w:p>
      <w:pPr>
        <w:spacing w:after="0"/>
        <w:ind w:left="0"/>
        <w:jc w:val="both"/>
      </w:pPr>
      <w:r>
        <w:rPr>
          <w:rFonts w:ascii="Times New Roman"/>
          <w:b w:val="false"/>
          <w:i w:val="false"/>
          <w:color w:val="000000"/>
          <w:sz w:val="28"/>
        </w:rPr>
        <w:t>
      Обновление сведений о клиентах (их представителях), указанных в подпунктах 17), 18), 20) и 21) пункта 15 Требований, осуществляется не реже одного раза в квартал.</w:t>
      </w:r>
    </w:p>
    <w:bookmarkEnd w:id="119"/>
    <w:bookmarkStart w:name="z527" w:id="120"/>
    <w:p>
      <w:pPr>
        <w:spacing w:after="0"/>
        <w:ind w:left="0"/>
        <w:jc w:val="both"/>
      </w:pPr>
      <w:r>
        <w:rPr>
          <w:rFonts w:ascii="Times New Roman"/>
          <w:b w:val="false"/>
          <w:i w:val="false"/>
          <w:color w:val="000000"/>
          <w:sz w:val="28"/>
        </w:rPr>
        <w:t>
      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bookmarkEnd w:id="120"/>
    <w:bookmarkStart w:name="z528" w:id="121"/>
    <w:p>
      <w:pPr>
        <w:spacing w:after="0"/>
        <w:ind w:left="0"/>
        <w:jc w:val="both"/>
      </w:pPr>
      <w:r>
        <w:rPr>
          <w:rFonts w:ascii="Times New Roman"/>
          <w:b w:val="false"/>
          <w:i w:val="false"/>
          <w:color w:val="000000"/>
          <w:sz w:val="28"/>
        </w:rPr>
        <w:t>
      дополнить пунктом 32-1 следующего содержания:</w:t>
      </w:r>
    </w:p>
    <w:bookmarkEnd w:id="121"/>
    <w:bookmarkStart w:name="z529" w:id="122"/>
    <w:p>
      <w:pPr>
        <w:spacing w:after="0"/>
        <w:ind w:left="0"/>
        <w:jc w:val="both"/>
      </w:pPr>
      <w:r>
        <w:rPr>
          <w:rFonts w:ascii="Times New Roman"/>
          <w:b w:val="false"/>
          <w:i w:val="false"/>
          <w:color w:val="000000"/>
          <w:sz w:val="28"/>
        </w:rPr>
        <w:t>
      "32-1. Банк посредством использования автоматизированной информационной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bookmarkEnd w:id="122"/>
    <w:bookmarkStart w:name="z530" w:id="123"/>
    <w:p>
      <w:pPr>
        <w:spacing w:after="0"/>
        <w:ind w:left="0"/>
        <w:jc w:val="both"/>
      </w:pPr>
      <w:r>
        <w:rPr>
          <w:rFonts w:ascii="Times New Roman"/>
          <w:b w:val="false"/>
          <w:i w:val="false"/>
          <w:color w:val="000000"/>
          <w:sz w:val="28"/>
        </w:rPr>
        <w:t>
      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bookmarkEnd w:id="123"/>
    <w:bookmarkStart w:name="z531" w:id="124"/>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w:t>
      </w:r>
      <w:r>
        <w:rPr>
          <w:rFonts w:ascii="Times New Roman"/>
          <w:b w:val="false"/>
          <w:i w:val="false"/>
          <w:color w:val="000000"/>
          <w:sz w:val="28"/>
        </w:rPr>
        <w:t>Постановлением № 188</w:t>
      </w:r>
      <w:r>
        <w:rPr>
          <w:rFonts w:ascii="Times New Roman"/>
          <w:b w:val="false"/>
          <w:i w:val="false"/>
          <w:color w:val="000000"/>
          <w:sz w:val="28"/>
        </w:rPr>
        <w:t>.</w:t>
      </w:r>
    </w:p>
    <w:bookmarkEnd w:id="124"/>
    <w:bookmarkStart w:name="z532" w:id="125"/>
    <w:p>
      <w:pPr>
        <w:spacing w:after="0"/>
        <w:ind w:left="0"/>
        <w:jc w:val="both"/>
      </w:pPr>
      <w:r>
        <w:rPr>
          <w:rFonts w:ascii="Times New Roman"/>
          <w:b w:val="false"/>
          <w:i w:val="false"/>
          <w:color w:val="000000"/>
          <w:sz w:val="28"/>
        </w:rPr>
        <w:t xml:space="preserve">
      Требования настоящего пункта не распространяются в отношении текущих счетов, открытых в жилищных строительных сберегательных банках и (или)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