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07d9" w14:textId="5bc0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 и консалтинговых услуг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 июля 2025 года № 115. Зарегистрирован в Министерстве юстиции Республики Казахстан 2 июля 2025 года № 36383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 и консалтинговых услуг Министерства туризма и спорта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2022 года №188 "Об утверждении Правил определения стоимости исследований, консалтинговых услуг и государственного задания Министерства культуры и спорта Республики Казахстан" (зарегистрирован в Реестре государственной регистрации нормативных правовых актов под № 28823);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20 июня 2024 года №122 "О внесении изменений в приказ Министра культуры и спорта Республики Казахстан от 14 июля 2022 года №188 "Об утверждении Правил определения стоимости исследований, консалтинговых услуг и государственного задания Министерства культуры и спорта Республики Казахстан" (зарегистрирован в Реестре государственной регистрации нормативных правовых актов под № 34548).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туризма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 № 115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 и консалтинговых услуг Министерства туризма и спорта Республики Казахстан.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 и консалтинговых услуг Министерства туризма и спорта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устанавливают порядок установления стоимости исследований и консалтинговых услуг за счет бюджетных средств при формировании бюджетной заявки.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– социологические, аналитические, прикладные, фундаментальные, стратегические научные исследования, осуществляемые юридическими и физическими лицами в целях достижения результатов научной деятельности в сферах физической культуры и спорта, игорного бизнеса, лотереи и лотерейной деятельности, туристской деятельности, туризма и туристской индустрии;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консалтинговые услуги – услуги по определению и оценки проблем, возможностей, возникающих в процессе деятельности в сферах физической культуры и спорта, игорного бизнеса, лотереи и лотерейной деятельности, туристской деятельности, туризма и туристской индустрии либо по детальному анализу ситуации, по разработке эффективных рекомендаций по коррекции дальнейших действий для повышения финансовой и управленческой эффективности работы.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 и консалтинговых услуг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исследований и консалтинговых услуг устанавливаются исходя из суммы прямых и косвенных расходов по следующей формуле: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ПР+КР, где: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исследований и консалтинговых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ПР- прямые расходы;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КР-косвенные расходы (административные расходы).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исследования и консалтинговой услуги не включаются следующие затраты: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от собственного дохода;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увеличения уставного капитала;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по приобретению основных средств и расходы амортизаций.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установления стоимости исследований и консалтинговых услуг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Прямые расходы включают следующие расходы, связанные с проведением исследований и консалтинговых услуг: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производственного персонала с учетом налогов и других обязательных отчислений;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прямым расходам;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производственного персонала;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внешних экспертов;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супервайзеров или физических лиц (для проведения массовых опросов, глубинных интервью, кабинетных исследований, фокус-групп);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обработки (ввод данных, кодировка анкет, обработка данных в специальной программе статистической обработки);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товарно-материальных запасов;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связи (почтовые, курьерские услуги, интернет, услуги телефонной связи, в том числе международная и междугородняя связь);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транспортные услуги;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полиграфические расходы;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аренды;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доступ к информационным базам данных государственных органов;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переводческие услуги.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(административные расходы) не относятся к себестоимости оказываемых услуг и включают следующие расходы: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административно-управленческого персонала с учетом налогов и других обязательных отчислений;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косвенным расходам;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административно-управленческого персонала;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коммунальные услуги;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представительские расходы;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банковские услуги;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нотариальные услуги.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статья расходов (за исключением заработных плат, социального налога, налога на добавленную стоимость) при проведении исследования, оказания консалтинговой услуги формируется на основании ценовых предложений (не менее трех).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