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d88" w14:textId="d7a7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постановления о применении мер оперативного реагирования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27 июня 2025 года № 155-НҚ. Зарегистрирован в Министерстве юстиции Республики Казахстан 27 июня 2025 года № 36349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 применении мер оперативного реагирования.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1 формы постановления о применении мер оперативного реагирования, который вводится в действие с 1 января 2027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(Государственный Герб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в области охраны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водного фонда)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ведомства уполномоченного органа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использования водного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межрегионального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охраны и использования водного фонда)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применении мер оперативного реагирования в отношении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контроля и надзора, осуществляющих специальное водопользование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№ ____от "___" _________ 20___ года __________________</w:t>
      </w:r>
      <w:r>
        <w:br/>
      </w:r>
      <w:r>
        <w:rPr>
          <w:rFonts w:ascii="Times New Roman"/>
          <w:b/>
          <w:i w:val="false"/>
          <w:color w:val="000000"/>
        </w:rPr>
        <w:t>Время: ________ (место составления)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и должность лица, составляющего акт)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в отношении субъекта контроля и надзора,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специальное водопользование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субъекте контроля и надзора, указываемые 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юридического лица, 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свидетельства (справки)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юридический и фактический адрес организации,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реквизиты, организационно-правовая форма юридического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наименование и реквизиты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жительства), а также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надзора, присутствовавшего при оформлении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применении мер оперативного реагирования)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субъекте контроля и надзора указываемые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свидетельства (справки)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индивидуального предпринимателя,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индивидуального предпринимателя, дата рождения,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реквизиты документа удостоверяющего личность, сведения о регистрации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 и фактический адрес осуществления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реквизиты))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(язык производства по рассматриваемому делу)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осуществлении_______________________________________________________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(правовые основания проведения проверки/профилактического контроля,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акта/уведомления о назначении проверки/профилактического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проверочного листа в области охраны и использования водного фонда.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требования проверочного листа в области охраны и использования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Водного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1. Сократить разрешенный объем водопользования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водопользователя, объект и место водозабора, объем,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соответствующий разрешительным требованиям.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действие разрешения на специальное водопользование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водопользователя, объект и место водозабора, объем,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соответствующий разрешительным требованиям.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3. Лишить (отозвать) разрешение на специальное водопользование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водопользователя, объект и место водозабора, объем,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соответствующий разрешительным требованиям.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и принятых мерах уведомить межрегиональное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подразделение ведомства уполномоченного органа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использования водного фонда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течении 30 (тридцати) календарных дней.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и подлежит незамедлительному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исполнению со дня вынесения постановления о применении мер оперативного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реагирования.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настоящего постановления предусмотрена ответственность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может быть обжаловано в порядке, предусмотренном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подается в суд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подлежит согласованию с прокурором в соответствии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руководителя органа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(допускается использовать электронную цифровую подпись 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и получил(а)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или его законный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руководителя субъекта контроля и надзора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