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7b80" w14:textId="5a07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июня 2025 года № 198. Зарегистрирован в Министерстве юстиции Республики Казахстан 18 июня 2025 года № 36298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дополнить подпунктом 14-1) следующего содержания:</w:t>
      </w:r>
    </w:p>
    <w:bookmarkEnd w:id="4"/>
    <w:bookmarkStart w:name="z9" w:id="5"/>
    <w:p>
      <w:pPr>
        <w:spacing w:after="0"/>
        <w:ind w:left="0"/>
        <w:jc w:val="both"/>
      </w:pPr>
      <w:r>
        <w:rPr>
          <w:rFonts w:ascii="Times New Roman"/>
          <w:b w:val="false"/>
          <w:i w:val="false"/>
          <w:color w:val="000000"/>
          <w:sz w:val="28"/>
        </w:rPr>
        <w:t xml:space="preserve">
      "14-1) объекты инвестиционного субсидирования – техника, машина, оборудование, приобретенные в кредит/лизинг, по которым инвестиционное субсидирование осуществляется с применением механизма перечисления инвестиционных субсидий авансовым платежом финансовому институту на специальный счет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 </w:t>
      </w:r>
    </w:p>
    <w:bookmarkStart w:name="z11" w:id="6"/>
    <w:p>
      <w:pPr>
        <w:spacing w:after="0"/>
        <w:ind w:left="0"/>
        <w:jc w:val="both"/>
      </w:pPr>
      <w:r>
        <w:rPr>
          <w:rFonts w:ascii="Times New Roman"/>
          <w:b w:val="false"/>
          <w:i w:val="false"/>
          <w:color w:val="000000"/>
          <w:sz w:val="28"/>
        </w:rPr>
        <w:t>
      "16) финансовые институты – акционерное общество "Фонд развития промышленности" (в рамках инвестиционного субсидирования по инвестиционным вложениям за счет привлеченных средств) (далее – АО "Фонд развития промышленности"),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13" w:id="7"/>
    <w:p>
      <w:pPr>
        <w:spacing w:after="0"/>
        <w:ind w:left="0"/>
        <w:jc w:val="both"/>
      </w:pPr>
      <w:r>
        <w:rPr>
          <w:rFonts w:ascii="Times New Roman"/>
          <w:b w:val="false"/>
          <w:i w:val="false"/>
          <w:color w:val="000000"/>
          <w:sz w:val="28"/>
        </w:rPr>
        <w:t>
      "12. Для паспортов проектов № 1 (при наличии минимального норматива по земельным участкам), № 2, № 4, № 13, № 14 необходимо наличие у инвестора (услугополучателя)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7"/>
    <w:bookmarkStart w:name="z14" w:id="8"/>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8"/>
    <w:bookmarkStart w:name="z15" w:id="9"/>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9"/>
    <w:bookmarkStart w:name="z16" w:id="10"/>
    <w:p>
      <w:pPr>
        <w:spacing w:after="0"/>
        <w:ind w:left="0"/>
        <w:jc w:val="both"/>
      </w:pPr>
      <w:r>
        <w:rPr>
          <w:rFonts w:ascii="Times New Roman"/>
          <w:b w:val="false"/>
          <w:i w:val="false"/>
          <w:color w:val="000000"/>
          <w:sz w:val="28"/>
        </w:rPr>
        <w:t>
      В случае подачи заявки по паспортам проектов № 1, № 2, № 4, № 13, № 14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техники и (или) машины, зарегистрированные на члена крестьянского или фермерского хозяйства.</w:t>
      </w:r>
    </w:p>
    <w:bookmarkEnd w:id="10"/>
    <w:bookmarkStart w:name="z17" w:id="11"/>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bookmarkEnd w:id="12"/>
    <w:bookmarkStart w:name="z20" w:id="13"/>
    <w:p>
      <w:pPr>
        <w:spacing w:after="0"/>
        <w:ind w:left="0"/>
        <w:jc w:val="both"/>
      </w:pPr>
      <w:r>
        <w:rPr>
          <w:rFonts w:ascii="Times New Roman"/>
          <w:b w:val="false"/>
          <w:i w:val="false"/>
          <w:color w:val="000000"/>
          <w:sz w:val="28"/>
        </w:rPr>
        <w:t>
      до 50 (пятидесяти) %:</w:t>
      </w:r>
    </w:p>
    <w:bookmarkEnd w:id="13"/>
    <w:bookmarkStart w:name="z21" w:id="14"/>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2; 13.2; 14; 19; 25; 26; 28; 29; 30; 31; 36; 40; 42;</w:t>
      </w:r>
    </w:p>
    <w:bookmarkEnd w:id="14"/>
    <w:bookmarkStart w:name="z22" w:id="15"/>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 2; 5; 6; 7; 8; 10; 11;</w:t>
      </w:r>
    </w:p>
    <w:bookmarkEnd w:id="15"/>
    <w:bookmarkStart w:name="z23" w:id="16"/>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16"/>
    <w:bookmarkStart w:name="z24" w:id="17"/>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17"/>
    <w:bookmarkStart w:name="z25" w:id="18"/>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18"/>
    <w:bookmarkStart w:name="z26" w:id="19"/>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19"/>
    <w:bookmarkStart w:name="z27" w:id="20"/>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20"/>
    <w:bookmarkStart w:name="z28" w:id="21"/>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23 изложить в следующей редакции:</w:t>
      </w:r>
    </w:p>
    <w:bookmarkStart w:name="z30" w:id="22"/>
    <w:p>
      <w:pPr>
        <w:spacing w:after="0"/>
        <w:ind w:left="0"/>
        <w:jc w:val="both"/>
      </w:pPr>
      <w:r>
        <w:rPr>
          <w:rFonts w:ascii="Times New Roman"/>
          <w:b w:val="false"/>
          <w:i w:val="false"/>
          <w:color w:val="000000"/>
          <w:sz w:val="28"/>
        </w:rPr>
        <w:t xml:space="preserve">
      "9) по паспорту проекта № 4 дополнительно 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 </w:t>
      </w:r>
    </w:p>
    <w:bookmarkStart w:name="z32" w:id="23"/>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23"/>
    <w:bookmarkStart w:name="z33" w:id="24"/>
    <w:p>
      <w:pPr>
        <w:spacing w:after="0"/>
        <w:ind w:left="0"/>
        <w:jc w:val="both"/>
      </w:pPr>
      <w:r>
        <w:rPr>
          <w:rFonts w:ascii="Times New Roman"/>
          <w:b w:val="false"/>
          <w:i w:val="false"/>
          <w:color w:val="000000"/>
          <w:sz w:val="28"/>
        </w:rPr>
        <w:t xml:space="preserve">
      В течение 1 (одного)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которые автоматически направляются для подписания инвестору (услугополучателю).</w:t>
      </w:r>
    </w:p>
    <w:bookmarkEnd w:id="24"/>
    <w:bookmarkStart w:name="z34" w:id="25"/>
    <w:p>
      <w:pPr>
        <w:spacing w:after="0"/>
        <w:ind w:left="0"/>
        <w:jc w:val="both"/>
      </w:pPr>
      <w:r>
        <w:rPr>
          <w:rFonts w:ascii="Times New Roman"/>
          <w:b w:val="false"/>
          <w:i w:val="false"/>
          <w:color w:val="000000"/>
          <w:sz w:val="28"/>
        </w:rPr>
        <w:t>
      В случае сбоя ГИСС, содержащей необходимые сведения для выдачи субсидий, рабочий орган (услугодатель) незамедлительно уведомляет уполномоченный орган в области развития агропромышленного комплекса о возникшей ситуации, который приступает к ее устранению.</w:t>
      </w:r>
    </w:p>
    <w:bookmarkEnd w:id="25"/>
    <w:bookmarkStart w:name="z35" w:id="26"/>
    <w:p>
      <w:pPr>
        <w:spacing w:after="0"/>
        <w:ind w:left="0"/>
        <w:jc w:val="both"/>
      </w:pPr>
      <w:r>
        <w:rPr>
          <w:rFonts w:ascii="Times New Roman"/>
          <w:b w:val="false"/>
          <w:i w:val="false"/>
          <w:color w:val="000000"/>
          <w:sz w:val="28"/>
        </w:rPr>
        <w:t>
      При этом, после проведения работ по устранению возникшего сбоя уполномоченный орган в области развития агропромышленного комплекса в течение 3 (трех) рабочих дней составляет протокол о технической проблеме и размещает его в ГИСС.";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xml:space="preserve">
      "32.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w:t>
      </w:r>
    </w:p>
    <w:bookmarkEnd w:id="27"/>
    <w:bookmarkStart w:name="z38" w:id="28"/>
    <w:p>
      <w:pPr>
        <w:spacing w:after="0"/>
        <w:ind w:left="0"/>
        <w:jc w:val="both"/>
      </w:pPr>
      <w:r>
        <w:rPr>
          <w:rFonts w:ascii="Times New Roman"/>
          <w:b w:val="false"/>
          <w:i w:val="false"/>
          <w:color w:val="000000"/>
          <w:sz w:val="28"/>
        </w:rPr>
        <w:t>
      При этом по заявкам, рассматриваемым в рамках:</w:t>
      </w:r>
    </w:p>
    <w:bookmarkEnd w:id="28"/>
    <w:bookmarkStart w:name="z39" w:id="29"/>
    <w:p>
      <w:pPr>
        <w:spacing w:after="0"/>
        <w:ind w:left="0"/>
        <w:jc w:val="both"/>
      </w:pPr>
      <w:r>
        <w:rPr>
          <w:rFonts w:ascii="Times New Roman"/>
          <w:b w:val="false"/>
          <w:i w:val="false"/>
          <w:color w:val="000000"/>
          <w:sz w:val="28"/>
        </w:rPr>
        <w:t xml:space="preserve">
      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инвестором (услугополучателем), что отражается в заявке на инвестиционное субсидирование;</w:t>
      </w:r>
    </w:p>
    <w:bookmarkEnd w:id="29"/>
    <w:bookmarkStart w:name="z40" w:id="30"/>
    <w:p>
      <w:pPr>
        <w:spacing w:after="0"/>
        <w:ind w:left="0"/>
        <w:jc w:val="both"/>
      </w:pPr>
      <w:r>
        <w:rPr>
          <w:rFonts w:ascii="Times New Roman"/>
          <w:b w:val="false"/>
          <w:i w:val="false"/>
          <w:color w:val="000000"/>
          <w:sz w:val="28"/>
        </w:rPr>
        <w:t xml:space="preserve">
      2) паспортов проектов № 4, № 5, № 7, № 9, № 10, № 12, № 15, № 16, № 17, № 18, № 19, № 20, № 21, № 22, № 23, № 24, № 25, № 26, № 27, №27.1, № 28, № 29, № 30, №31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рабочим органом (услугодателем).</w:t>
      </w:r>
    </w:p>
    <w:bookmarkEnd w:id="30"/>
    <w:bookmarkStart w:name="z41" w:id="31"/>
    <w:p>
      <w:pPr>
        <w:spacing w:after="0"/>
        <w:ind w:left="0"/>
        <w:jc w:val="both"/>
      </w:pPr>
      <w:r>
        <w:rPr>
          <w:rFonts w:ascii="Times New Roman"/>
          <w:b w:val="false"/>
          <w:i w:val="false"/>
          <w:color w:val="000000"/>
          <w:sz w:val="28"/>
        </w:rPr>
        <w:t xml:space="preserve">
      33.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дополнительно прикрепляет заверенную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финансового института, имеющего лицензию на осуществление микрофинансовой деятельности.</w:t>
      </w:r>
    </w:p>
    <w:bookmarkEnd w:id="31"/>
    <w:bookmarkStart w:name="z42" w:id="32"/>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инвестором (услугополучателем) заключается трехсторонний договор и соглашение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или акционерным обществом "Фонд развития промышленности", инвестиционных субсидий на специальном счете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2"/>
    <w:bookmarkStart w:name="z43" w:id="33"/>
    <w:p>
      <w:pPr>
        <w:spacing w:after="0"/>
        <w:ind w:left="0"/>
        <w:jc w:val="both"/>
      </w:pPr>
      <w:r>
        <w:rPr>
          <w:rFonts w:ascii="Times New Roman"/>
          <w:b w:val="false"/>
          <w:i w:val="false"/>
          <w:color w:val="000000"/>
          <w:sz w:val="28"/>
        </w:rPr>
        <w:t>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использует средства инвестиционных субсидий, полученных на специальный счет, до своевременного исполнения условий, указанных в пунктах 34 или 35 настоящих Правил.</w:t>
      </w:r>
    </w:p>
    <w:bookmarkEnd w:id="33"/>
    <w:bookmarkStart w:name="z44" w:id="34"/>
    <w:p>
      <w:pPr>
        <w:spacing w:after="0"/>
        <w:ind w:left="0"/>
        <w:jc w:val="both"/>
      </w:pPr>
      <w:r>
        <w:rPr>
          <w:rFonts w:ascii="Times New Roman"/>
          <w:b w:val="false"/>
          <w:i w:val="false"/>
          <w:color w:val="000000"/>
          <w:sz w:val="28"/>
        </w:rPr>
        <w:t xml:space="preserve">
      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34"/>
    <w:bookmarkStart w:name="z45" w:id="35"/>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5"/>
    <w:bookmarkStart w:name="z46" w:id="36"/>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36"/>
    <w:bookmarkStart w:name="z47" w:id="37"/>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37"/>
    <w:bookmarkStart w:name="z48" w:id="38"/>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38"/>
    <w:bookmarkStart w:name="z49" w:id="39"/>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39"/>
    <w:bookmarkStart w:name="z50" w:id="40"/>
    <w:p>
      <w:pPr>
        <w:spacing w:after="0"/>
        <w:ind w:left="0"/>
        <w:jc w:val="both"/>
      </w:pPr>
      <w:r>
        <w:rPr>
          <w:rFonts w:ascii="Times New Roman"/>
          <w:b w:val="false"/>
          <w:i w:val="false"/>
          <w:color w:val="000000"/>
          <w:sz w:val="28"/>
        </w:rPr>
        <w:t>
      35. В случае финансирования инвестора путем предоставления техники, машин и (или)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предоставляет подтверждающие документы рабочему органу (услугодателю), а также копию договора финансового лизинга.</w:t>
      </w:r>
    </w:p>
    <w:bookmarkEnd w:id="40"/>
    <w:bookmarkStart w:name="z51" w:id="41"/>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180 (ста восьмидесяти) календарных дней со дня получения средств на специальный счет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41"/>
    <w:bookmarkStart w:name="z52" w:id="42"/>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42"/>
    <w:bookmarkStart w:name="z53" w:id="43"/>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43"/>
    <w:bookmarkStart w:name="z54" w:id="44"/>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44"/>
    <w:bookmarkStart w:name="z55" w:id="45"/>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w:t>
      </w:r>
    </w:p>
    <w:bookmarkEnd w:id="45"/>
    <w:bookmarkStart w:name="z56" w:id="46"/>
    <w:p>
      <w:pPr>
        <w:spacing w:after="0"/>
        <w:ind w:left="0"/>
        <w:jc w:val="both"/>
      </w:pPr>
      <w:r>
        <w:rPr>
          <w:rFonts w:ascii="Times New Roman"/>
          <w:b w:val="false"/>
          <w:i w:val="false"/>
          <w:color w:val="000000"/>
          <w:sz w:val="28"/>
        </w:rPr>
        <w:t>
      36.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не выполняются условия, предусмотренные пунктом 34 настоящих Правил (при финансировании инвестора (услугополучателя) путем представления кредита) или пунктом 35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3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46"/>
    <w:bookmarkStart w:name="z57" w:id="47"/>
    <w:p>
      <w:pPr>
        <w:spacing w:after="0"/>
        <w:ind w:left="0"/>
        <w:jc w:val="both"/>
      </w:pPr>
      <w:r>
        <w:rPr>
          <w:rFonts w:ascii="Times New Roman"/>
          <w:b w:val="false"/>
          <w:i w:val="false"/>
          <w:color w:val="000000"/>
          <w:sz w:val="28"/>
        </w:rPr>
        <w:t>
      37. Средства, перечисленные на специальный счет, зачисляются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47"/>
    <w:bookmarkStart w:name="z58" w:id="48"/>
    <w:p>
      <w:pPr>
        <w:spacing w:after="0"/>
        <w:ind w:left="0"/>
        <w:jc w:val="both"/>
      </w:pPr>
      <w:r>
        <w:rPr>
          <w:rFonts w:ascii="Times New Roman"/>
          <w:b w:val="false"/>
          <w:i w:val="false"/>
          <w:color w:val="000000"/>
          <w:sz w:val="28"/>
        </w:rPr>
        <w:t>
      38. Мониторинг инвестиционного субсидирования осуществляется в течение 3 (трех) лет с момента субсидирования рабочим органом (услугодателем) в ГИСС по следующим критериям:</w:t>
      </w:r>
    </w:p>
    <w:bookmarkEnd w:id="48"/>
    <w:bookmarkStart w:name="z59" w:id="49"/>
    <w:p>
      <w:pPr>
        <w:spacing w:after="0"/>
        <w:ind w:left="0"/>
        <w:jc w:val="both"/>
      </w:pPr>
      <w:r>
        <w:rPr>
          <w:rFonts w:ascii="Times New Roman"/>
          <w:b w:val="false"/>
          <w:i w:val="false"/>
          <w:color w:val="000000"/>
          <w:sz w:val="28"/>
        </w:rPr>
        <w:t>
      1) ежеквартально на предмет не отчуждения (в том числе в части запрета на замену и передачу в аренду объектов инвестиционного субсидирования) и обеспечения целевого использования инвестором (услугополучателем) приобретенной техники, машин и оборудования;</w:t>
      </w:r>
    </w:p>
    <w:bookmarkEnd w:id="49"/>
    <w:bookmarkStart w:name="z60" w:id="50"/>
    <w:p>
      <w:pPr>
        <w:spacing w:after="0"/>
        <w:ind w:left="0"/>
        <w:jc w:val="both"/>
      </w:pPr>
      <w:r>
        <w:rPr>
          <w:rFonts w:ascii="Times New Roman"/>
          <w:b w:val="false"/>
          <w:i w:val="false"/>
          <w:color w:val="000000"/>
          <w:sz w:val="28"/>
        </w:rPr>
        <w:t>
      2) по паспортам проектов № 7, № 8 (по молокоперерабатывающему заводу), № 10, № 18, № 19, № 24, № 25, № 26, № 27, № 27.1, № 28, № 29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bookmarkEnd w:id="50"/>
    <w:bookmarkStart w:name="z61" w:id="51"/>
    <w:p>
      <w:pPr>
        <w:spacing w:after="0"/>
        <w:ind w:left="0"/>
        <w:jc w:val="both"/>
      </w:pPr>
      <w:r>
        <w:rPr>
          <w:rFonts w:ascii="Times New Roman"/>
          <w:b w:val="false"/>
          <w:i w:val="false"/>
          <w:color w:val="000000"/>
          <w:sz w:val="28"/>
        </w:rPr>
        <w:t>
      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пункта 3 настоящих Правил;</w:t>
      </w:r>
    </w:p>
    <w:bookmarkEnd w:id="51"/>
    <w:bookmarkStart w:name="z62" w:id="52"/>
    <w:p>
      <w:pPr>
        <w:spacing w:after="0"/>
        <w:ind w:left="0"/>
        <w:jc w:val="both"/>
      </w:pPr>
      <w:r>
        <w:rPr>
          <w:rFonts w:ascii="Times New Roman"/>
          <w:b w:val="false"/>
          <w:i w:val="false"/>
          <w:color w:val="000000"/>
          <w:sz w:val="28"/>
        </w:rPr>
        <w:t>
      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52"/>
    <w:bookmarkStart w:name="z63" w:id="53"/>
    <w:p>
      <w:pPr>
        <w:spacing w:after="0"/>
        <w:ind w:left="0"/>
        <w:jc w:val="both"/>
      </w:pPr>
      <w:r>
        <w:rPr>
          <w:rFonts w:ascii="Times New Roman"/>
          <w:b w:val="false"/>
          <w:i w:val="false"/>
          <w:color w:val="000000"/>
          <w:sz w:val="28"/>
        </w:rPr>
        <w:t>
      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53"/>
    <w:bookmarkStart w:name="z64" w:id="54"/>
    <w:p>
      <w:pPr>
        <w:spacing w:after="0"/>
        <w:ind w:left="0"/>
        <w:jc w:val="both"/>
      </w:pPr>
      <w:r>
        <w:rPr>
          <w:rFonts w:ascii="Times New Roman"/>
          <w:b w:val="false"/>
          <w:i w:val="false"/>
          <w:color w:val="000000"/>
          <w:sz w:val="28"/>
        </w:rPr>
        <w:t xml:space="preserve">
      6) не менее 1 (одного) раза в год по исполнению финансовым институтом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инвестиционных субсидий на специальном счете.";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68" w:id="55"/>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55"/>
    <w:bookmarkStart w:name="z69"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70"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7"/>
    <w:bookmarkStart w:name="z71"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8"/>
    <w:bookmarkStart w:name="z72"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74"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7" w:id="63"/>
      <w:r>
        <w:rPr>
          <w:rFonts w:ascii="Times New Roman"/>
          <w:b w:val="false"/>
          <w:i w:val="false"/>
          <w:color w:val="000000"/>
          <w:sz w:val="28"/>
        </w:rPr>
        <w:t>
      "СОГЛАСОВАН"</w:t>
      </w:r>
    </w:p>
    <w:bookmarkEnd w:id="6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8" w:id="64"/>
      <w:r>
        <w:rPr>
          <w:rFonts w:ascii="Times New Roman"/>
          <w:b w:val="false"/>
          <w:i w:val="false"/>
          <w:color w:val="000000"/>
          <w:sz w:val="28"/>
        </w:rPr>
        <w:t>
      "СОГЛАСОВАН"</w:t>
      </w:r>
    </w:p>
    <w:bookmarkEnd w:id="6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9" w:id="65"/>
      <w:r>
        <w:rPr>
          <w:rFonts w:ascii="Times New Roman"/>
          <w:b w:val="false"/>
          <w:i w:val="false"/>
          <w:color w:val="000000"/>
          <w:sz w:val="28"/>
        </w:rPr>
        <w:t>
      "СОГЛАСОВАН"</w:t>
      </w:r>
    </w:p>
    <w:bookmarkEnd w:id="6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2025 года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83" w:id="67"/>
    <w:p>
      <w:pPr>
        <w:spacing w:after="0"/>
        <w:ind w:left="0"/>
        <w:jc w:val="left"/>
      </w:pPr>
      <w:r>
        <w:rPr>
          <w:rFonts w:ascii="Times New Roman"/>
          <w:b/>
          <w:i w:val="false"/>
          <w:color w:val="000000"/>
        </w:rPr>
        <w:t xml:space="preserve"> Перечень паспортов проектов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навесной и прицепной сельскохозяйственной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завода по переработке куриного яйца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2025 года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86" w:id="68"/>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6"/>
        <w:gridCol w:w="167"/>
        <w:gridCol w:w="167"/>
        <w:gridCol w:w="167"/>
        <w:gridCol w:w="167"/>
        <w:gridCol w:w="167"/>
        <w:gridCol w:w="167"/>
        <w:gridCol w:w="167"/>
        <w:gridCol w:w="167"/>
        <w:gridCol w:w="167"/>
        <w:gridCol w:w="167"/>
        <w:gridCol w:w="167"/>
        <w:gridCol w:w="167"/>
        <w:gridCol w:w="167"/>
        <w:gridCol w:w="167"/>
        <w:gridCol w:w="167"/>
        <w:gridCol w:w="167"/>
      </w:tblGrid>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Свеклоуборочный комбайн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 позиции 32, 33 субсидируются за счет средств из местного бюджета.</w:t>
            </w:r>
          </w:p>
          <w:p>
            <w:pPr>
              <w:spacing w:after="20"/>
              <w:ind w:left="20"/>
              <w:jc w:val="both"/>
            </w:pPr>
            <w:r>
              <w:rPr>
                <w:rFonts w:ascii="Times New Roman"/>
                <w:b w:val="false"/>
                <w:i w:val="false"/>
                <w:color w:val="000000"/>
                <w:sz w:val="20"/>
              </w:rPr>
              <w:t>
***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до 539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до 129 лошадиных сил (включительно)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249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пневматическая сеялка /посевной комплекс: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со стойками TruPosition™ и тандемные колеса для копирования рельефа Walk-Over, и (или) с регулировкой глубины в одной точке Single Point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от13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 и (или) платформа подборщика.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о семеноводстве;</w:t>
            </w:r>
          </w:p>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2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25"/>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1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1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1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1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p>
            <w:pPr>
              <w:spacing w:after="20"/>
              <w:ind w:left="20"/>
              <w:jc w:val="both"/>
            </w:pPr>
            <w:r>
              <w:rPr>
                <w:rFonts w:ascii="Times New Roman"/>
                <w:b w:val="false"/>
                <w:i w:val="false"/>
                <w:color w:val="000000"/>
                <w:sz w:val="20"/>
              </w:rPr>
              <w:t>
1.1. Строительство.</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9"/>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9"/>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9"/>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9"/>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9"/>
            <w:vMerge/>
            <w:tcBorders>
              <w:top w:val="nil"/>
              <w:left w:val="single" w:color="cfcfcf" w:sz="5"/>
              <w:bottom w:val="single" w:color="cfcfcf" w:sz="5"/>
              <w:right w:val="single" w:color="cfcfcf" w:sz="5"/>
            </w:tcBorders>
          </w:tcP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4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45"/>
            <w:vMerge/>
            <w:tcBorders>
              <w:top w:val="nil"/>
              <w:left w:val="single" w:color="cfcfcf" w:sz="5"/>
              <w:bottom w:val="single" w:color="cfcfcf" w:sz="5"/>
              <w:right w:val="single" w:color="cfcfcf" w:sz="5"/>
            </w:tcBorders>
          </w:tcP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
8 668 000 (плодовых косточковых культур);</w:t>
            </w:r>
          </w:p>
          <w:p>
            <w:pPr>
              <w:spacing w:after="20"/>
              <w:ind w:left="20"/>
              <w:jc w:val="both"/>
            </w:pPr>
            <w:r>
              <w:rPr>
                <w:rFonts w:ascii="Times New Roman"/>
                <w:b w:val="false"/>
                <w:i w:val="false"/>
                <w:color w:val="000000"/>
                <w:sz w:val="20"/>
              </w:rPr>
              <w:t>
1 841 000 (орехоплодных культур);</w:t>
            </w:r>
          </w:p>
          <w:p>
            <w:pPr>
              <w:spacing w:after="20"/>
              <w:ind w:left="20"/>
              <w:jc w:val="both"/>
            </w:pPr>
            <w:r>
              <w:rPr>
                <w:rFonts w:ascii="Times New Roman"/>
                <w:b w:val="false"/>
                <w:i w:val="false"/>
                <w:color w:val="000000"/>
                <w:sz w:val="20"/>
              </w:rPr>
              <w:t>
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2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седельный тягач*</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p>
            <w:pPr>
              <w:spacing w:after="20"/>
              <w:ind w:left="20"/>
              <w:jc w:val="both"/>
            </w:pPr>
            <w:r>
              <w:rPr>
                <w:rFonts w:ascii="Times New Roman"/>
                <w:b w:val="false"/>
                <w:i w:val="false"/>
                <w:color w:val="000000"/>
                <w:sz w:val="20"/>
              </w:rPr>
              <w:t>
**субсидируется по норме 3 единицы на 1500 тонн хранения</w:t>
            </w:r>
          </w:p>
          <w:p>
            <w:pPr>
              <w:spacing w:after="20"/>
              <w:ind w:left="20"/>
              <w:jc w:val="both"/>
            </w:pPr>
            <w:r>
              <w:rPr>
                <w:rFonts w:ascii="Times New Roman"/>
                <w:b w:val="false"/>
                <w:i w:val="false"/>
                <w:color w:val="000000"/>
                <w:sz w:val="20"/>
              </w:rPr>
              <w:t>
***Вместимость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2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2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2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
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26"/>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картофеля включает производственный комплекс с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 Стоимость инвестиционного проекта определяется согласно проектно-сметной документации: строительство от 140 000 тонн в год по сырью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p>
            <w:pPr>
              <w:spacing w:after="20"/>
              <w:ind w:left="20"/>
              <w:jc w:val="both"/>
            </w:pPr>
            <w:r>
              <w:rPr>
                <w:rFonts w:ascii="Times New Roman"/>
                <w:b w:val="false"/>
                <w:i w:val="false"/>
                <w:color w:val="000000"/>
                <w:sz w:val="20"/>
              </w:rPr>
              <w:t>
Условия для расчета субсидий: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
Условия для расчета субсидий:</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Крахмалы модифицированные;</w:t>
            </w:r>
          </w:p>
          <w:p>
            <w:pPr>
              <w:spacing w:after="20"/>
              <w:ind w:left="20"/>
              <w:jc w:val="both"/>
            </w:pPr>
            <w:r>
              <w:rPr>
                <w:rFonts w:ascii="Times New Roman"/>
                <w:b w:val="false"/>
                <w:i w:val="false"/>
                <w:color w:val="000000"/>
                <w:sz w:val="20"/>
              </w:rPr>
              <w:t>
Глюкоза и сироп из глюкозы;</w:t>
            </w:r>
          </w:p>
          <w:p>
            <w:pPr>
              <w:spacing w:after="20"/>
              <w:ind w:left="20"/>
              <w:jc w:val="both"/>
            </w:pPr>
            <w:r>
              <w:rPr>
                <w:rFonts w:ascii="Times New Roman"/>
                <w:b w:val="false"/>
                <w:i w:val="false"/>
                <w:color w:val="000000"/>
                <w:sz w:val="20"/>
              </w:rPr>
              <w:t>
Фруктоза и сироп из фруктозы;</w:t>
            </w:r>
          </w:p>
          <w:p>
            <w:pPr>
              <w:spacing w:after="20"/>
              <w:ind w:left="20"/>
              <w:jc w:val="both"/>
            </w:pPr>
            <w:r>
              <w:rPr>
                <w:rFonts w:ascii="Times New Roman"/>
                <w:b w:val="false"/>
                <w:i w:val="false"/>
                <w:color w:val="000000"/>
                <w:sz w:val="20"/>
              </w:rPr>
              <w:t>
Мальтоза и мальтозный сироп;</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Концентраты белковые (протеиновые);</w:t>
            </w:r>
          </w:p>
          <w:p>
            <w:pPr>
              <w:spacing w:after="20"/>
              <w:ind w:left="20"/>
              <w:jc w:val="both"/>
            </w:pPr>
            <w:r>
              <w:rPr>
                <w:rFonts w:ascii="Times New Roman"/>
                <w:b w:val="false"/>
                <w:i w:val="false"/>
                <w:color w:val="000000"/>
                <w:sz w:val="20"/>
              </w:rPr>
              <w:t>
Соевый изолят;</w:t>
            </w:r>
          </w:p>
          <w:p>
            <w:pPr>
              <w:spacing w:after="20"/>
              <w:ind w:left="20"/>
              <w:jc w:val="both"/>
            </w:pPr>
            <w:r>
              <w:rPr>
                <w:rFonts w:ascii="Times New Roman"/>
                <w:b w:val="false"/>
                <w:i w:val="false"/>
                <w:color w:val="000000"/>
                <w:sz w:val="20"/>
              </w:rPr>
              <w:t>
Кислота лимонная;</w:t>
            </w:r>
          </w:p>
          <w:p>
            <w:pPr>
              <w:spacing w:after="20"/>
              <w:ind w:left="20"/>
              <w:jc w:val="both"/>
            </w:pPr>
            <w:r>
              <w:rPr>
                <w:rFonts w:ascii="Times New Roman"/>
                <w:b w:val="false"/>
                <w:i w:val="false"/>
                <w:color w:val="000000"/>
                <w:sz w:val="20"/>
              </w:rPr>
              <w:t>
Лецитин и фосфолипиды растительные;</w:t>
            </w:r>
          </w:p>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Лизин, кислота глутаминовая и их соли.</w:t>
            </w:r>
          </w:p>
          <w:p>
            <w:pPr>
              <w:spacing w:after="20"/>
              <w:ind w:left="20"/>
              <w:jc w:val="both"/>
            </w:pPr>
            <w:r>
              <w:rPr>
                <w:rFonts w:ascii="Times New Roman"/>
                <w:b w:val="false"/>
                <w:i w:val="false"/>
                <w:color w:val="000000"/>
                <w:sz w:val="20"/>
              </w:rPr>
              <w:t xml:space="preserve">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6"/>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2025 года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67" w:id="69"/>
    <w:p>
      <w:pPr>
        <w:spacing w:after="0"/>
        <w:ind w:left="0"/>
        <w:jc w:val="left"/>
      </w:pPr>
      <w:r>
        <w:rPr>
          <w:rFonts w:ascii="Times New Roman"/>
          <w:b/>
          <w:i w:val="false"/>
          <w:color w:val="000000"/>
        </w:rPr>
        <w:t xml:space="preserve"> Соглашение о целевом использовании и не отчуждении объектов инвестиционного субсидирования № ___</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bookmarkStart w:name="z168" w:id="70"/>
      <w:r>
        <w:rPr>
          <w:rFonts w:ascii="Times New Roman"/>
          <w:b w:val="false"/>
          <w:i w:val="false"/>
          <w:color w:val="000000"/>
          <w:sz w:val="28"/>
        </w:rPr>
        <w:t>
      Управление ________________________________________________________</w:t>
      </w:r>
    </w:p>
    <w:bookmarkEnd w:id="70"/>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Республики Казахстан, 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_____________от___ № 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объектов инвестиционного</w:t>
      </w:r>
    </w:p>
    <w:p>
      <w:pPr>
        <w:spacing w:after="0"/>
        <w:ind w:left="0"/>
        <w:jc w:val="both"/>
      </w:pPr>
      <w:r>
        <w:rPr>
          <w:rFonts w:ascii="Times New Roman"/>
          <w:b w:val="false"/>
          <w:i w:val="false"/>
          <w:color w:val="000000"/>
          <w:sz w:val="28"/>
        </w:rPr>
        <w:t>субсидирования в течение 3 (трех) лет с момента субсидирования</w:t>
      </w:r>
    </w:p>
    <w:p>
      <w:pPr>
        <w:spacing w:after="0"/>
        <w:ind w:left="0"/>
        <w:jc w:val="both"/>
      </w:pPr>
      <w:r>
        <w:rPr>
          <w:rFonts w:ascii="Times New Roman"/>
          <w:b w:val="false"/>
          <w:i w:val="false"/>
          <w:color w:val="000000"/>
          <w:sz w:val="28"/>
        </w:rPr>
        <w:t>(далее – Соглашение), о нижеследующем:</w:t>
      </w:r>
    </w:p>
    <w:bookmarkStart w:name="z169" w:id="71"/>
    <w:p>
      <w:pPr>
        <w:spacing w:after="0"/>
        <w:ind w:left="0"/>
        <w:jc w:val="left"/>
      </w:pPr>
      <w:r>
        <w:rPr>
          <w:rFonts w:ascii="Times New Roman"/>
          <w:b/>
          <w:i w:val="false"/>
          <w:color w:val="000000"/>
        </w:rPr>
        <w:t xml:space="preserve"> Глава 1. Предмет и цель Соглашения</w:t>
      </w:r>
    </w:p>
    <w:bookmarkEnd w:id="71"/>
    <w:bookmarkStart w:name="z170" w:id="72"/>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не осуществлять замену, не передавать в аренду объекты инвестиционного субсидирования, а также нести ответственность за нецелевое использование в течение 3 (трех) лет с момента субсидирования.</w:t>
      </w:r>
    </w:p>
    <w:bookmarkEnd w:id="72"/>
    <w:bookmarkStart w:name="z171" w:id="73"/>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73"/>
    <w:bookmarkStart w:name="z172" w:id="74"/>
    <w:p>
      <w:pPr>
        <w:spacing w:after="0"/>
        <w:ind w:left="0"/>
        <w:jc w:val="left"/>
      </w:pPr>
      <w:r>
        <w:rPr>
          <w:rFonts w:ascii="Times New Roman"/>
          <w:b/>
          <w:i w:val="false"/>
          <w:color w:val="000000"/>
        </w:rPr>
        <w:t xml:space="preserve"> Глава 2. Права и обязанности Сторон</w:t>
      </w:r>
    </w:p>
    <w:bookmarkEnd w:id="74"/>
    <w:bookmarkStart w:name="z173" w:id="75"/>
    <w:p>
      <w:pPr>
        <w:spacing w:after="0"/>
        <w:ind w:left="0"/>
        <w:jc w:val="both"/>
      </w:pPr>
      <w:r>
        <w:rPr>
          <w:rFonts w:ascii="Times New Roman"/>
          <w:b w:val="false"/>
          <w:i w:val="false"/>
          <w:color w:val="000000"/>
          <w:sz w:val="28"/>
        </w:rPr>
        <w:t>
      2.1 Инвестор обязан:</w:t>
      </w:r>
    </w:p>
    <w:bookmarkEnd w:id="75"/>
    <w:bookmarkStart w:name="z174" w:id="76"/>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bookmarkEnd w:id="76"/>
    <w:bookmarkStart w:name="z175" w:id="77"/>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bookmarkEnd w:id="77"/>
    <w:bookmarkStart w:name="z176" w:id="78"/>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bookmarkEnd w:id="78"/>
    <w:bookmarkStart w:name="z177" w:id="79"/>
    <w:p>
      <w:pPr>
        <w:spacing w:after="0"/>
        <w:ind w:left="0"/>
        <w:jc w:val="both"/>
      </w:pPr>
      <w:r>
        <w:rPr>
          <w:rFonts w:ascii="Times New Roman"/>
          <w:b w:val="false"/>
          <w:i w:val="false"/>
          <w:color w:val="000000"/>
          <w:sz w:val="28"/>
        </w:rPr>
        <w:t>
      предоставлять информацию согласно пункту 39 Правил;</w:t>
      </w:r>
    </w:p>
    <w:bookmarkEnd w:id="79"/>
    <w:bookmarkStart w:name="z178" w:id="80"/>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bookmarkEnd w:id="80"/>
    <w:bookmarkStart w:name="z179" w:id="81"/>
    <w:p>
      <w:pPr>
        <w:spacing w:after="0"/>
        <w:ind w:left="0"/>
        <w:jc w:val="both"/>
      </w:pPr>
      <w:r>
        <w:rPr>
          <w:rFonts w:ascii="Times New Roman"/>
          <w:b w:val="false"/>
          <w:i w:val="false"/>
          <w:color w:val="000000"/>
          <w:sz w:val="28"/>
        </w:rPr>
        <w:t>
      не производить отчуждение, осуществление замены, передачу в аренду объектов инвестиционного субсидирования в течение срока указанного в подпункте 1.1. Соглашения;</w:t>
      </w:r>
    </w:p>
    <w:bookmarkEnd w:id="81"/>
    <w:bookmarkStart w:name="z180" w:id="82"/>
    <w:p>
      <w:pPr>
        <w:spacing w:after="0"/>
        <w:ind w:left="0"/>
        <w:jc w:val="both"/>
      </w:pPr>
      <w:r>
        <w:rPr>
          <w:rFonts w:ascii="Times New Roman"/>
          <w:b w:val="false"/>
          <w:i w:val="false"/>
          <w:color w:val="000000"/>
          <w:sz w:val="28"/>
        </w:rPr>
        <w:t>
      2.2 Рабочий орган вправе:</w:t>
      </w:r>
    </w:p>
    <w:bookmarkEnd w:id="82"/>
    <w:bookmarkStart w:name="z181" w:id="83"/>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End w:id="83"/>
    <w:bookmarkStart w:name="z182" w:id="84"/>
    <w:p>
      <w:pPr>
        <w:spacing w:after="0"/>
        <w:ind w:left="0"/>
        <w:jc w:val="left"/>
      </w:pPr>
      <w:r>
        <w:rPr>
          <w:rFonts w:ascii="Times New Roman"/>
          <w:b/>
          <w:i w:val="false"/>
          <w:color w:val="000000"/>
        </w:rPr>
        <w:t xml:space="preserve"> Глава 3. Срок действия Соглашения</w:t>
      </w:r>
    </w:p>
    <w:bookmarkEnd w:id="84"/>
    <w:bookmarkStart w:name="z183" w:id="85"/>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(трех) лет, а в части неисполненных обязательств – до их полного исполнения.</w:t>
      </w:r>
    </w:p>
    <w:bookmarkEnd w:id="85"/>
    <w:bookmarkStart w:name="z184" w:id="86"/>
    <w:p>
      <w:pPr>
        <w:spacing w:after="0"/>
        <w:ind w:left="0"/>
        <w:jc w:val="left"/>
      </w:pPr>
      <w:r>
        <w:rPr>
          <w:rFonts w:ascii="Times New Roman"/>
          <w:b/>
          <w:i w:val="false"/>
          <w:color w:val="000000"/>
        </w:rPr>
        <w:t xml:space="preserve"> Глава 4. Обстоятельства непреодолимой силы</w:t>
      </w:r>
    </w:p>
    <w:bookmarkEnd w:id="86"/>
    <w:bookmarkStart w:name="z185" w:id="87"/>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87"/>
    <w:bookmarkStart w:name="z186" w:id="88"/>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88"/>
    <w:bookmarkStart w:name="z187" w:id="89"/>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89"/>
    <w:bookmarkStart w:name="z188" w:id="90"/>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90"/>
    <w:bookmarkStart w:name="z189" w:id="91"/>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91"/>
    <w:bookmarkStart w:name="z190" w:id="92"/>
    <w:p>
      <w:pPr>
        <w:spacing w:after="0"/>
        <w:ind w:left="0"/>
        <w:jc w:val="left"/>
      </w:pPr>
      <w:r>
        <w:rPr>
          <w:rFonts w:ascii="Times New Roman"/>
          <w:b/>
          <w:i w:val="false"/>
          <w:color w:val="000000"/>
        </w:rPr>
        <w:t xml:space="preserve"> Глава 5. Заключительные положения</w:t>
      </w:r>
    </w:p>
    <w:bookmarkEnd w:id="92"/>
    <w:bookmarkStart w:name="z191" w:id="93"/>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93"/>
    <w:bookmarkStart w:name="z192" w:id="94"/>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94"/>
    <w:bookmarkStart w:name="z193" w:id="95"/>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95"/>
    <w:bookmarkStart w:name="z194" w:id="96"/>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96"/>
    <w:bookmarkStart w:name="z195" w:id="97"/>
    <w:p>
      <w:pPr>
        <w:spacing w:after="0"/>
        <w:ind w:left="0"/>
        <w:jc w:val="both"/>
      </w:pPr>
      <w:r>
        <w:rPr>
          <w:rFonts w:ascii="Times New Roman"/>
          <w:b w:val="false"/>
          <w:i w:val="false"/>
          <w:color w:val="000000"/>
          <w:sz w:val="28"/>
        </w:rPr>
        <w:t>
      5.5 Настоящее Соглашение составлено в 2 (двух) экземплярах на государственном и русском языках, по одному экземпляру для каждой из Сторон.</w:t>
      </w:r>
    </w:p>
    <w:bookmarkEnd w:id="97"/>
    <w:bookmarkStart w:name="z196" w:id="98"/>
    <w:p>
      <w:pPr>
        <w:spacing w:after="0"/>
        <w:ind w:left="0"/>
        <w:jc w:val="left"/>
      </w:pPr>
      <w:r>
        <w:rPr>
          <w:rFonts w:ascii="Times New Roman"/>
          <w:b/>
          <w:i w:val="false"/>
          <w:color w:val="000000"/>
        </w:rPr>
        <w:t xml:space="preserve"> Глава 6. Адреса, банковские реквизиты и подписи Сторон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2025 года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99" w:id="99"/>
    <w:p>
      <w:pPr>
        <w:spacing w:after="0"/>
        <w:ind w:left="0"/>
        <w:jc w:val="left"/>
      </w:pPr>
      <w:r>
        <w:rPr>
          <w:rFonts w:ascii="Times New Roman"/>
          <w:b/>
          <w:i w:val="false"/>
          <w:color w:val="000000"/>
        </w:rPr>
        <w:t xml:space="preserve"> Договор и соглашение № __ о неиспользовании финансовым институтом,</w:t>
      </w:r>
      <w:r>
        <w:br/>
      </w:r>
      <w:r>
        <w:rPr>
          <w:rFonts w:ascii="Times New Roman"/>
          <w:b/>
          <w:i w:val="false"/>
          <w:color w:val="000000"/>
        </w:rPr>
        <w:t>имеющим лицензию уполномоченного органа по регулированию, контролю и надзору</w:t>
      </w:r>
      <w:r>
        <w:br/>
      </w:r>
      <w:r>
        <w:rPr>
          <w:rFonts w:ascii="Times New Roman"/>
          <w:b/>
          <w:i w:val="false"/>
          <w:color w:val="000000"/>
        </w:rPr>
        <w:t>финансового рынка и финансовых организаций на проведение банковских операций,</w:t>
      </w:r>
      <w:r>
        <w:br/>
      </w:r>
      <w:r>
        <w:rPr>
          <w:rFonts w:ascii="Times New Roman"/>
          <w:b/>
          <w:i w:val="false"/>
          <w:color w:val="000000"/>
        </w:rPr>
        <w:t>или финансовым институтом, имеющим лицензию на осуществление</w:t>
      </w:r>
      <w:r>
        <w:br/>
      </w:r>
      <w:r>
        <w:rPr>
          <w:rFonts w:ascii="Times New Roman"/>
          <w:b/>
          <w:i w:val="false"/>
          <w:color w:val="000000"/>
        </w:rPr>
        <w:t>микрофинансовой деятельности или акционерным обществом "Фонд развития</w:t>
      </w:r>
      <w:r>
        <w:br/>
      </w:r>
      <w:r>
        <w:rPr>
          <w:rFonts w:ascii="Times New Roman"/>
          <w:b/>
          <w:i w:val="false"/>
          <w:color w:val="000000"/>
        </w:rPr>
        <w:t>промышленности", инвестиционных субсидий на специальном счете</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bookmarkStart w:name="z200" w:id="100"/>
      <w:r>
        <w:rPr>
          <w:rFonts w:ascii="Times New Roman"/>
          <w:b w:val="false"/>
          <w:i w:val="false"/>
          <w:color w:val="000000"/>
          <w:sz w:val="28"/>
        </w:rPr>
        <w:t>
      ___________________________________________________________________</w:t>
      </w:r>
    </w:p>
    <w:bookmarkEnd w:id="100"/>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с одной стороны, государственное учреждение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именуемое в дальнейшем "Инвестор",</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201" w:id="101"/>
    <w:p>
      <w:pPr>
        <w:spacing w:after="0"/>
        <w:ind w:left="0"/>
        <w:jc w:val="left"/>
      </w:pPr>
      <w:r>
        <w:rPr>
          <w:rFonts w:ascii="Times New Roman"/>
          <w:b/>
          <w:i w:val="false"/>
          <w:color w:val="000000"/>
        </w:rPr>
        <w:t xml:space="preserve"> Глава 1. Общие положения</w:t>
      </w:r>
    </w:p>
    <w:bookmarkEnd w:id="101"/>
    <w:bookmarkStart w:name="z202" w:id="102"/>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102"/>
    <w:bookmarkStart w:name="z203"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103"/>
    <w:bookmarkStart w:name="z204"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104"/>
    <w:bookmarkStart w:name="z205" w:id="105"/>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105"/>
    <w:bookmarkStart w:name="z206" w:id="106"/>
    <w:p>
      <w:pPr>
        <w:spacing w:after="0"/>
        <w:ind w:left="0"/>
        <w:jc w:val="left"/>
      </w:pPr>
      <w:r>
        <w:rPr>
          <w:rFonts w:ascii="Times New Roman"/>
          <w:b/>
          <w:i w:val="false"/>
          <w:color w:val="000000"/>
        </w:rPr>
        <w:t xml:space="preserve"> Глава 2. Термины и определения</w:t>
      </w:r>
    </w:p>
    <w:bookmarkEnd w:id="106"/>
    <w:bookmarkStart w:name="z207" w:id="107"/>
    <w:p>
      <w:pPr>
        <w:spacing w:after="0"/>
        <w:ind w:left="0"/>
        <w:jc w:val="both"/>
      </w:pPr>
      <w:r>
        <w:rPr>
          <w:rFonts w:ascii="Times New Roman"/>
          <w:b w:val="false"/>
          <w:i w:val="false"/>
          <w:color w:val="000000"/>
          <w:sz w:val="28"/>
        </w:rPr>
        <w:t>
      2.1.В настоящем Договоре используются понятия, указанные в Правилах субсидирования.</w:t>
      </w:r>
    </w:p>
    <w:bookmarkEnd w:id="107"/>
    <w:bookmarkStart w:name="z208" w:id="108"/>
    <w:p>
      <w:pPr>
        <w:spacing w:after="0"/>
        <w:ind w:left="0"/>
        <w:jc w:val="left"/>
      </w:pPr>
      <w:r>
        <w:rPr>
          <w:rFonts w:ascii="Times New Roman"/>
          <w:b/>
          <w:i w:val="false"/>
          <w:color w:val="000000"/>
        </w:rPr>
        <w:t xml:space="preserve"> Глава 3. Предмет Договора</w:t>
      </w:r>
    </w:p>
    <w:bookmarkEnd w:id="108"/>
    <w:bookmarkStart w:name="z209" w:id="109"/>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109"/>
    <w:bookmarkStart w:name="z210" w:id="110"/>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110"/>
    <w:bookmarkStart w:name="z211" w:id="111"/>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111"/>
    <w:bookmarkStart w:name="z212" w:id="112"/>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112"/>
    <w:bookmarkStart w:name="z213" w:id="113"/>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113"/>
    <w:bookmarkStart w:name="z214" w:id="114"/>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114"/>
    <w:bookmarkStart w:name="z215" w:id="115"/>
    <w:p>
      <w:pPr>
        <w:spacing w:after="0"/>
        <w:ind w:left="0"/>
        <w:jc w:val="left"/>
      </w:pPr>
      <w:r>
        <w:rPr>
          <w:rFonts w:ascii="Times New Roman"/>
          <w:b/>
          <w:i w:val="false"/>
          <w:color w:val="000000"/>
        </w:rPr>
        <w:t xml:space="preserve"> Глава 5. Права и обязанности Сторон</w:t>
      </w:r>
    </w:p>
    <w:bookmarkEnd w:id="115"/>
    <w:bookmarkStart w:name="z216" w:id="116"/>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116"/>
    <w:bookmarkStart w:name="z217" w:id="117"/>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117"/>
    <w:bookmarkStart w:name="z218" w:id="118"/>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18"/>
    <w:bookmarkStart w:name="z219" w:id="119"/>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119"/>
    <w:bookmarkStart w:name="z220" w:id="120"/>
    <w:p>
      <w:pPr>
        <w:spacing w:after="0"/>
        <w:ind w:left="0"/>
        <w:jc w:val="left"/>
      </w:pPr>
      <w:r>
        <w:rPr>
          <w:rFonts w:ascii="Times New Roman"/>
          <w:b/>
          <w:i w:val="false"/>
          <w:color w:val="000000"/>
        </w:rPr>
        <w:t xml:space="preserve"> Глава 6. Ответственность Сторон</w:t>
      </w:r>
    </w:p>
    <w:bookmarkEnd w:id="120"/>
    <w:bookmarkStart w:name="z221" w:id="121"/>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121"/>
    <w:bookmarkStart w:name="z222" w:id="122"/>
    <w:p>
      <w:pPr>
        <w:spacing w:after="0"/>
        <w:ind w:left="0"/>
        <w:jc w:val="left"/>
      </w:pPr>
      <w:r>
        <w:rPr>
          <w:rFonts w:ascii="Times New Roman"/>
          <w:b/>
          <w:i w:val="false"/>
          <w:color w:val="000000"/>
        </w:rPr>
        <w:t xml:space="preserve"> Глава 7. Срок действия Договора</w:t>
      </w:r>
    </w:p>
    <w:bookmarkEnd w:id="122"/>
    <w:bookmarkStart w:name="z223" w:id="123"/>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123"/>
    <w:bookmarkStart w:name="z224" w:id="124"/>
    <w:p>
      <w:pPr>
        <w:spacing w:after="0"/>
        <w:ind w:left="0"/>
        <w:jc w:val="left"/>
      </w:pPr>
      <w:r>
        <w:rPr>
          <w:rFonts w:ascii="Times New Roman"/>
          <w:b/>
          <w:i w:val="false"/>
          <w:color w:val="000000"/>
        </w:rPr>
        <w:t xml:space="preserve"> Глава 8. Обстоятельства непреодолимой силы</w:t>
      </w:r>
    </w:p>
    <w:bookmarkEnd w:id="124"/>
    <w:bookmarkStart w:name="z225" w:id="125"/>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125"/>
    <w:bookmarkStart w:name="z226" w:id="126"/>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126"/>
    <w:bookmarkStart w:name="z227" w:id="127"/>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127"/>
    <w:bookmarkStart w:name="z228" w:id="128"/>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128"/>
    <w:bookmarkStart w:name="z229" w:id="129"/>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129"/>
    <w:bookmarkStart w:name="z230" w:id="130"/>
    <w:p>
      <w:pPr>
        <w:spacing w:after="0"/>
        <w:ind w:left="0"/>
        <w:jc w:val="left"/>
      </w:pPr>
      <w:r>
        <w:rPr>
          <w:rFonts w:ascii="Times New Roman"/>
          <w:b/>
          <w:i w:val="false"/>
          <w:color w:val="000000"/>
        </w:rPr>
        <w:t xml:space="preserve"> Глава 9. Разрешение споров</w:t>
      </w:r>
    </w:p>
    <w:bookmarkEnd w:id="130"/>
    <w:bookmarkStart w:name="z231" w:id="131"/>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31"/>
    <w:bookmarkStart w:name="z232" w:id="132"/>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132"/>
    <w:bookmarkStart w:name="z233" w:id="133"/>
    <w:p>
      <w:pPr>
        <w:spacing w:after="0"/>
        <w:ind w:left="0"/>
        <w:jc w:val="left"/>
      </w:pPr>
      <w:r>
        <w:rPr>
          <w:rFonts w:ascii="Times New Roman"/>
          <w:b/>
          <w:i w:val="false"/>
          <w:color w:val="000000"/>
        </w:rPr>
        <w:t xml:space="preserve"> Глава 10. Обмен корреспонденцией</w:t>
      </w:r>
    </w:p>
    <w:bookmarkEnd w:id="133"/>
    <w:bookmarkStart w:name="z234" w:id="134"/>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134"/>
    <w:bookmarkStart w:name="z235" w:id="135"/>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135"/>
    <w:bookmarkStart w:name="z236" w:id="136"/>
    <w:p>
      <w:pPr>
        <w:spacing w:after="0"/>
        <w:ind w:left="0"/>
        <w:jc w:val="left"/>
      </w:pPr>
      <w:r>
        <w:rPr>
          <w:rFonts w:ascii="Times New Roman"/>
          <w:b/>
          <w:i w:val="false"/>
          <w:color w:val="000000"/>
        </w:rPr>
        <w:t xml:space="preserve"> Глава 11. Конфиденциальность</w:t>
      </w:r>
    </w:p>
    <w:bookmarkEnd w:id="136"/>
    <w:bookmarkStart w:name="z237" w:id="137"/>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137"/>
    <w:bookmarkStart w:name="z238" w:id="138"/>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138"/>
    <w:bookmarkStart w:name="z239" w:id="139"/>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139"/>
    <w:bookmarkStart w:name="z240" w:id="140"/>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140"/>
    <w:bookmarkStart w:name="z241" w:id="141"/>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141"/>
    <w:bookmarkStart w:name="z242" w:id="142"/>
    <w:p>
      <w:pPr>
        <w:spacing w:after="0"/>
        <w:ind w:left="0"/>
        <w:jc w:val="left"/>
      </w:pPr>
      <w:r>
        <w:rPr>
          <w:rFonts w:ascii="Times New Roman"/>
          <w:b/>
          <w:i w:val="false"/>
          <w:color w:val="000000"/>
        </w:rPr>
        <w:t xml:space="preserve"> Глава 12. Заключительные положения</w:t>
      </w:r>
    </w:p>
    <w:bookmarkEnd w:id="142"/>
    <w:bookmarkStart w:name="z243" w:id="143"/>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143"/>
    <w:bookmarkStart w:name="z244" w:id="144"/>
    <w:p>
      <w:pPr>
        <w:spacing w:after="0"/>
        <w:ind w:left="0"/>
        <w:jc w:val="both"/>
      </w:pPr>
      <w:r>
        <w:rPr>
          <w:rFonts w:ascii="Times New Roman"/>
          <w:b w:val="false"/>
          <w:i w:val="false"/>
          <w:color w:val="000000"/>
          <w:sz w:val="28"/>
        </w:rPr>
        <w:t>
      12.2. Настоящий Договор составлен в 3 (трех) экземплярах на государственном и русском языках, по одному экземпляру для каждой из Сторон.</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