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7b80" w14:textId="5a07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both"/>
      </w:pPr>
      <w:r>
        <w:rPr>
          <w:rFonts w:ascii="Times New Roman"/>
          <w:b w:val="false"/>
          <w:i w:val="false"/>
          <w:color w:val="000000"/>
          <w:sz w:val="28"/>
        </w:rPr>
        <w:t>Приказ Министра сельского хозяйства Республики Казахстан от 13 июня 2025 года № 198. Зарегистрирован в Министерстве юстиции Республики Казахстан 18 июня 2025 года № 36298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 17320)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дополнить подпунктом 14-1) следующего содержания:</w:t>
      </w:r>
    </w:p>
    <w:bookmarkEnd w:id="4"/>
    <w:bookmarkStart w:name="z9" w:id="5"/>
    <w:p>
      <w:pPr>
        <w:spacing w:after="0"/>
        <w:ind w:left="0"/>
        <w:jc w:val="both"/>
      </w:pPr>
      <w:r>
        <w:rPr>
          <w:rFonts w:ascii="Times New Roman"/>
          <w:b w:val="false"/>
          <w:i w:val="false"/>
          <w:color w:val="000000"/>
          <w:sz w:val="28"/>
        </w:rPr>
        <w:t xml:space="preserve">
      "14-1) объекты инвестиционного субсидирования – техника, машина, оборудование, приобретенные в кредит/лизинг, по которым инвестиционное субсидирование осуществляется с применением механизма перечисления инвестиционных субсидий авансовым платежом финансовому институту на специальный счет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 </w:t>
      </w:r>
    </w:p>
    <w:bookmarkStart w:name="z11" w:id="6"/>
    <w:p>
      <w:pPr>
        <w:spacing w:after="0"/>
        <w:ind w:left="0"/>
        <w:jc w:val="both"/>
      </w:pPr>
      <w:r>
        <w:rPr>
          <w:rFonts w:ascii="Times New Roman"/>
          <w:b w:val="false"/>
          <w:i w:val="false"/>
          <w:color w:val="000000"/>
          <w:sz w:val="28"/>
        </w:rPr>
        <w:t>
      "16) финансовые институты – акционерное общество "Фонд развития промышленности" (в рамках инвестиционного субсидирования по инвестиционным вложениям за счет привлеченных средств) (далее – АО "Фонд развития промышленности"), банки второго уровня, микрофинансовые организации, кредитные организации, имеющие соответствующую лицензию на право осуществления банковских операций, лизинговые компании, кредитные товарищества, поверенные (агенты), определенные в соответствии с бюджетным законодательством Республики Казахстан;";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 </w:t>
      </w:r>
    </w:p>
    <w:bookmarkStart w:name="z13" w:id="7"/>
    <w:p>
      <w:pPr>
        <w:spacing w:after="0"/>
        <w:ind w:left="0"/>
        <w:jc w:val="both"/>
      </w:pPr>
      <w:r>
        <w:rPr>
          <w:rFonts w:ascii="Times New Roman"/>
          <w:b w:val="false"/>
          <w:i w:val="false"/>
          <w:color w:val="000000"/>
          <w:sz w:val="28"/>
        </w:rPr>
        <w:t>
      "12. Для паспортов проектов № 1 (при наличии минимального норматива по земельным участкам), № 2, № 4, № 13, № 14 необходимо наличие у инвестора (услугополучателя) земельного (ых) участка (ов) сельскохозяйственного назначения на праве землепользования и (или) частной собственности соответствующей площади, подтвержденное в результате информационного взаимодействия ГИСС с информационной системой единого государственного кадастра недвижимости.</w:t>
      </w:r>
    </w:p>
    <w:bookmarkEnd w:id="7"/>
    <w:bookmarkStart w:name="z14" w:id="8"/>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площадь земельных участков сельскохозяйственного назначения, зарегистрированных у членов сельскохозяйственного кооператива.</w:t>
      </w:r>
    </w:p>
    <w:bookmarkEnd w:id="8"/>
    <w:bookmarkStart w:name="z15" w:id="9"/>
    <w:p>
      <w:pPr>
        <w:spacing w:after="0"/>
        <w:ind w:left="0"/>
        <w:jc w:val="both"/>
      </w:pPr>
      <w:r>
        <w:rPr>
          <w:rFonts w:ascii="Times New Roman"/>
          <w:b w:val="false"/>
          <w:i w:val="false"/>
          <w:color w:val="000000"/>
          <w:sz w:val="28"/>
        </w:rPr>
        <w:t>
      При этом членство в сельскохозяйственном кооперативе подтверждается путем информационного взаимодействия ГИСС с государственной базой данных "Юридические лица".</w:t>
      </w:r>
    </w:p>
    <w:bookmarkEnd w:id="9"/>
    <w:bookmarkStart w:name="z16" w:id="10"/>
    <w:p>
      <w:pPr>
        <w:spacing w:after="0"/>
        <w:ind w:left="0"/>
        <w:jc w:val="both"/>
      </w:pPr>
      <w:r>
        <w:rPr>
          <w:rFonts w:ascii="Times New Roman"/>
          <w:b w:val="false"/>
          <w:i w:val="false"/>
          <w:color w:val="000000"/>
          <w:sz w:val="28"/>
        </w:rPr>
        <w:t>
      В случае подачи заявки по паспортам проектов № 1, № 2, № 4, № 13, № 14 от крестьянского или фермерского хозяйства, осуществляющего деятельность в виде совместного предпринимательства, за членами которого зарегистрированы земельные участки, допускается предоставление субсидии на приобретенные техники и (или) машины, зарегистрированные на члена крестьянского или фермерского хозяйства.</w:t>
      </w:r>
    </w:p>
    <w:bookmarkEnd w:id="10"/>
    <w:bookmarkStart w:name="z17" w:id="11"/>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"17. По заявкам текущего финансового года при наличии средств на выплату инвестиционных субсидий из местного бюджета в текущем финансовом году по решению администратора допустимо увеличение доли возмещения инвестиционных вложений по следующим паспортам проектов:</w:t>
      </w:r>
    </w:p>
    <w:bookmarkEnd w:id="12"/>
    <w:bookmarkStart w:name="z20" w:id="13"/>
    <w:p>
      <w:pPr>
        <w:spacing w:after="0"/>
        <w:ind w:left="0"/>
        <w:jc w:val="both"/>
      </w:pPr>
      <w:r>
        <w:rPr>
          <w:rFonts w:ascii="Times New Roman"/>
          <w:b w:val="false"/>
          <w:i w:val="false"/>
          <w:color w:val="000000"/>
          <w:sz w:val="28"/>
        </w:rPr>
        <w:t>
      до 50 (пятидесяти) %:</w:t>
      </w:r>
    </w:p>
    <w:bookmarkEnd w:id="13"/>
    <w:bookmarkStart w:name="z21" w:id="14"/>
    <w:p>
      <w:pPr>
        <w:spacing w:after="0"/>
        <w:ind w:left="0"/>
        <w:jc w:val="both"/>
      </w:pPr>
      <w:r>
        <w:rPr>
          <w:rFonts w:ascii="Times New Roman"/>
          <w:b w:val="false"/>
          <w:i w:val="false"/>
          <w:color w:val="000000"/>
          <w:sz w:val="28"/>
        </w:rPr>
        <w:t>
      по паспорту проекта № 1 "Приобретение сельскохозяйственной техники, машин и оборудования" для сельскохозяйственных кооперативов по следующим позициям: 2; 13.2; 14; 19; 25; 26; 28; 29; 30; 31; 36; 40; 42;</w:t>
      </w:r>
    </w:p>
    <w:bookmarkEnd w:id="14"/>
    <w:bookmarkStart w:name="z22" w:id="15"/>
    <w:p>
      <w:pPr>
        <w:spacing w:after="0"/>
        <w:ind w:left="0"/>
        <w:jc w:val="both"/>
      </w:pPr>
      <w:r>
        <w:rPr>
          <w:rFonts w:ascii="Times New Roman"/>
          <w:b w:val="false"/>
          <w:i w:val="false"/>
          <w:color w:val="000000"/>
          <w:sz w:val="28"/>
        </w:rPr>
        <w:t>
      по паспорту проекта № 1.1 "Приобретение приоритетных сельскохозяйственных машин и оборудования" для сельскохозяйственных кооперативов по следующим позициям: 1; 2; 5; 6; 7; 8; 10; 11;</w:t>
      </w:r>
    </w:p>
    <w:bookmarkEnd w:id="15"/>
    <w:bookmarkStart w:name="z23" w:id="16"/>
    <w:p>
      <w:pPr>
        <w:spacing w:after="0"/>
        <w:ind w:left="0"/>
        <w:jc w:val="both"/>
      </w:pPr>
      <w:r>
        <w:rPr>
          <w:rFonts w:ascii="Times New Roman"/>
          <w:b w:val="false"/>
          <w:i w:val="false"/>
          <w:color w:val="000000"/>
          <w:sz w:val="28"/>
        </w:rPr>
        <w:t>
      по паспорту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 для сельскохозяйственных кооперативов.</w:t>
      </w:r>
    </w:p>
    <w:bookmarkEnd w:id="16"/>
    <w:bookmarkStart w:name="z24" w:id="17"/>
    <w:p>
      <w:pPr>
        <w:spacing w:after="0"/>
        <w:ind w:left="0"/>
        <w:jc w:val="both"/>
      </w:pPr>
      <w:r>
        <w:rPr>
          <w:rFonts w:ascii="Times New Roman"/>
          <w:b w:val="false"/>
          <w:i w:val="false"/>
          <w:color w:val="000000"/>
          <w:sz w:val="28"/>
        </w:rPr>
        <w:t>
      При этом, один сельскохозяйственный кооператив может получить инвестиционные субсидии на приобретенную (приобретаемую) технику, машины и оборудование, до:</w:t>
      </w:r>
    </w:p>
    <w:bookmarkEnd w:id="17"/>
    <w:bookmarkStart w:name="z25" w:id="18"/>
    <w:p>
      <w:pPr>
        <w:spacing w:after="0"/>
        <w:ind w:left="0"/>
        <w:jc w:val="both"/>
      </w:pPr>
      <w:r>
        <w:rPr>
          <w:rFonts w:ascii="Times New Roman"/>
          <w:b w:val="false"/>
          <w:i w:val="false"/>
          <w:color w:val="000000"/>
          <w:sz w:val="28"/>
        </w:rPr>
        <w:t>
      трех тракторов с соответствующим количеством прицепного и навесного оборудования;</w:t>
      </w:r>
    </w:p>
    <w:bookmarkEnd w:id="18"/>
    <w:bookmarkStart w:name="z26" w:id="19"/>
    <w:p>
      <w:pPr>
        <w:spacing w:after="0"/>
        <w:ind w:left="0"/>
        <w:jc w:val="both"/>
      </w:pPr>
      <w:r>
        <w:rPr>
          <w:rFonts w:ascii="Times New Roman"/>
          <w:b w:val="false"/>
          <w:i w:val="false"/>
          <w:color w:val="000000"/>
          <w:sz w:val="28"/>
        </w:rPr>
        <w:t>
      двух зерноуборочных комбайнов и соответствующего количества навесного и прицепного оборудования;</w:t>
      </w:r>
    </w:p>
    <w:bookmarkEnd w:id="19"/>
    <w:bookmarkStart w:name="z27" w:id="20"/>
    <w:p>
      <w:pPr>
        <w:spacing w:after="0"/>
        <w:ind w:left="0"/>
        <w:jc w:val="both"/>
      </w:pPr>
      <w:r>
        <w:rPr>
          <w:rFonts w:ascii="Times New Roman"/>
          <w:b w:val="false"/>
          <w:i w:val="false"/>
          <w:color w:val="000000"/>
          <w:sz w:val="28"/>
        </w:rPr>
        <w:t>
      двух автомобилей для перевозки грузов сельскохозяйственного назначения и прицепа самосвального.</w:t>
      </w:r>
    </w:p>
    <w:bookmarkEnd w:id="20"/>
    <w:bookmarkStart w:name="z28" w:id="21"/>
    <w:p>
      <w:pPr>
        <w:spacing w:after="0"/>
        <w:ind w:left="0"/>
        <w:jc w:val="both"/>
      </w:pPr>
      <w:r>
        <w:rPr>
          <w:rFonts w:ascii="Times New Roman"/>
          <w:b w:val="false"/>
          <w:i w:val="false"/>
          <w:color w:val="000000"/>
          <w:sz w:val="28"/>
        </w:rPr>
        <w:t>
      Для сельскохозяйственных кооперативов не распространяется требование по минимальному нормативу на одну единицу техники (гектар/ условная голова крупного рогатого скота).";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23 изложить в следующей редакции:</w:t>
      </w:r>
    </w:p>
    <w:bookmarkStart w:name="z30" w:id="22"/>
    <w:p>
      <w:pPr>
        <w:spacing w:after="0"/>
        <w:ind w:left="0"/>
        <w:jc w:val="both"/>
      </w:pPr>
      <w:r>
        <w:rPr>
          <w:rFonts w:ascii="Times New Roman"/>
          <w:b w:val="false"/>
          <w:i w:val="false"/>
          <w:color w:val="000000"/>
          <w:sz w:val="28"/>
        </w:rPr>
        <w:t xml:space="preserve">
      "9) по паспорту проекта № 4 дополнительно копию разрешения на специальное водопользование, полученного согласно Правилам оказания государственной услуги "Разрешение на специальное водопользование",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11 сентября 2020 года № 216 "Об утверждении правил оказания государственных услуг в области регулирования использования водного фонда" (зарегистрирован в Реестре государственной регистрации нормативных правовых актов № 21194);";</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 </w:t>
      </w:r>
    </w:p>
    <w:bookmarkStart w:name="z32" w:id="23"/>
    <w:p>
      <w:pPr>
        <w:spacing w:after="0"/>
        <w:ind w:left="0"/>
        <w:jc w:val="both"/>
      </w:pPr>
      <w:r>
        <w:rPr>
          <w:rFonts w:ascii="Times New Roman"/>
          <w:b w:val="false"/>
          <w:i w:val="false"/>
          <w:color w:val="000000"/>
          <w:sz w:val="28"/>
        </w:rPr>
        <w:t>
      "30. Сведения о результатах рассмотрения заявки направляются в "личный кабинет" инвестора (услугополучателя) и отражаются на веб-портале.</w:t>
      </w:r>
    </w:p>
    <w:bookmarkEnd w:id="23"/>
    <w:bookmarkStart w:name="z33" w:id="24"/>
    <w:p>
      <w:pPr>
        <w:spacing w:after="0"/>
        <w:ind w:left="0"/>
        <w:jc w:val="both"/>
      </w:pPr>
      <w:r>
        <w:rPr>
          <w:rFonts w:ascii="Times New Roman"/>
          <w:b w:val="false"/>
          <w:i w:val="false"/>
          <w:color w:val="000000"/>
          <w:sz w:val="28"/>
        </w:rPr>
        <w:t xml:space="preserve">
      В течение 1 (одного) рабочего дня со дня принятия положительного решения рабочим органом (услугодателем), рабочим органом (услугодателем) посредством ГИСС в электронной форме формируется и подписывается договор инвестиционного субсидирования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соглашение о целевом использовании и не отчуждении объекта инвестиционного субсидирования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которые автоматически направляются для подписания инвестору (услугополучателю).</w:t>
      </w:r>
    </w:p>
    <w:bookmarkEnd w:id="24"/>
    <w:bookmarkStart w:name="z34" w:id="25"/>
    <w:p>
      <w:pPr>
        <w:spacing w:after="0"/>
        <w:ind w:left="0"/>
        <w:jc w:val="both"/>
      </w:pPr>
      <w:r>
        <w:rPr>
          <w:rFonts w:ascii="Times New Roman"/>
          <w:b w:val="false"/>
          <w:i w:val="false"/>
          <w:color w:val="000000"/>
          <w:sz w:val="28"/>
        </w:rPr>
        <w:t>
      В случае сбоя ГИСС, содержащей необходимые сведения для выдачи субсидий, рабочий орган (услугодатель) незамедлительно уведомляет уполномоченный орган в области развития агропромышленного комплекса о возникшей ситуации, который приступает к ее устранению.</w:t>
      </w:r>
    </w:p>
    <w:bookmarkEnd w:id="25"/>
    <w:bookmarkStart w:name="z35" w:id="26"/>
    <w:p>
      <w:pPr>
        <w:spacing w:after="0"/>
        <w:ind w:left="0"/>
        <w:jc w:val="both"/>
      </w:pPr>
      <w:r>
        <w:rPr>
          <w:rFonts w:ascii="Times New Roman"/>
          <w:b w:val="false"/>
          <w:i w:val="false"/>
          <w:color w:val="000000"/>
          <w:sz w:val="28"/>
        </w:rPr>
        <w:t>
      При этом, после проведения работ по устранению возникшего сбоя уполномоченный орган в области развития агропромышленного комплекса в течение 3 (трех) рабочих дней составляет протокол о технической проблеме и размещает его в ГИСС.";</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37" w:id="27"/>
    <w:p>
      <w:pPr>
        <w:spacing w:after="0"/>
        <w:ind w:left="0"/>
        <w:jc w:val="both"/>
      </w:pPr>
      <w:r>
        <w:rPr>
          <w:rFonts w:ascii="Times New Roman"/>
          <w:b w:val="false"/>
          <w:i w:val="false"/>
          <w:color w:val="000000"/>
          <w:sz w:val="28"/>
        </w:rPr>
        <w:t xml:space="preserve">
      "32. В случае планируемого приобретения инвестором (услугополучателем) техники, машин, оборудования в кредит/лизинг осуществляется перечисление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 и банковской деятельности), или финансовому институту, имеющему лицензию на осуществление микрофинансовой деятельности или АО "Фонд развития промышленности", на специальный счет.</w:t>
      </w:r>
    </w:p>
    <w:bookmarkEnd w:id="27"/>
    <w:bookmarkStart w:name="z38" w:id="28"/>
    <w:p>
      <w:pPr>
        <w:spacing w:after="0"/>
        <w:ind w:left="0"/>
        <w:jc w:val="both"/>
      </w:pPr>
      <w:r>
        <w:rPr>
          <w:rFonts w:ascii="Times New Roman"/>
          <w:b w:val="false"/>
          <w:i w:val="false"/>
          <w:color w:val="000000"/>
          <w:sz w:val="28"/>
        </w:rPr>
        <w:t>
      При этом по заявкам, рассматриваемым в рамках:</w:t>
      </w:r>
    </w:p>
    <w:bookmarkEnd w:id="28"/>
    <w:bookmarkStart w:name="z39" w:id="29"/>
    <w:p>
      <w:pPr>
        <w:spacing w:after="0"/>
        <w:ind w:left="0"/>
        <w:jc w:val="both"/>
      </w:pPr>
      <w:r>
        <w:rPr>
          <w:rFonts w:ascii="Times New Roman"/>
          <w:b w:val="false"/>
          <w:i w:val="false"/>
          <w:color w:val="000000"/>
          <w:sz w:val="28"/>
        </w:rPr>
        <w:t xml:space="preserve">
      1) паспортов проектов № 1, № 1.1, № 2, № 3, № 6, № 8, № 13, № 14 целесообразность применения механизма перечисления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финансовому институту, имеющему лицензию на осуществление микрофинансовой деятельности или АО "Фонд развития промышленности", на специальный счет определяется инвестором (услугополучателем), что отражается в заявке на инвестиционное субсидирование;</w:t>
      </w:r>
    </w:p>
    <w:bookmarkEnd w:id="29"/>
    <w:bookmarkStart w:name="z40" w:id="30"/>
    <w:p>
      <w:pPr>
        <w:spacing w:after="0"/>
        <w:ind w:left="0"/>
        <w:jc w:val="both"/>
      </w:pPr>
      <w:r>
        <w:rPr>
          <w:rFonts w:ascii="Times New Roman"/>
          <w:b w:val="false"/>
          <w:i w:val="false"/>
          <w:color w:val="000000"/>
          <w:sz w:val="28"/>
        </w:rPr>
        <w:t xml:space="preserve">
      2) паспортов проектов № 4, № 5, № 7, № 9, № 10, № 12, № 15, № 16, № 17, № 18, № 19, № 20, № 21, № 22, № 23, № 24, № 25, № 26, № 27, №27.1, № 28, № 29, № 30, №31 целесообразность применения механизма перечисления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финансовому институту, имеющему лицензию на осуществление микрофинансовой деятельности или АО "Фонд развития промышленности", на специальный счет определяется рабочим органом (услугодателем).</w:t>
      </w:r>
    </w:p>
    <w:bookmarkEnd w:id="30"/>
    <w:bookmarkStart w:name="z41" w:id="31"/>
    <w:p>
      <w:pPr>
        <w:spacing w:after="0"/>
        <w:ind w:left="0"/>
        <w:jc w:val="both"/>
      </w:pPr>
      <w:r>
        <w:rPr>
          <w:rFonts w:ascii="Times New Roman"/>
          <w:b w:val="false"/>
          <w:i w:val="false"/>
          <w:color w:val="000000"/>
          <w:sz w:val="28"/>
        </w:rPr>
        <w:t xml:space="preserve">
      33. Для получения инвестиционных субсидий на специальный счет, инвестор (услугополучатель) подает электронную заявку на инвестиционное субсидирование с применением механизма авансового платежа на специальный счет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дополнительно прикрепляет заверенную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или АО "Фонд развития промышленности", копию положительного решения кредитного комитета финансового института, имеющего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финансового института, имеющего лицензию на осуществление микрофинансовой деятельности.</w:t>
      </w:r>
    </w:p>
    <w:bookmarkEnd w:id="31"/>
    <w:bookmarkStart w:name="z42" w:id="32"/>
    <w:p>
      <w:pPr>
        <w:spacing w:after="0"/>
        <w:ind w:left="0"/>
        <w:jc w:val="both"/>
      </w:pPr>
      <w:r>
        <w:rPr>
          <w:rFonts w:ascii="Times New Roman"/>
          <w:b w:val="false"/>
          <w:i w:val="false"/>
          <w:color w:val="000000"/>
          <w:sz w:val="28"/>
        </w:rPr>
        <w:t xml:space="preserve">
      В течение 3 (трех) рабочих дней с даты одобрения рабочим органом (услугодателем) заявки инвестора (услугополучателя), между рабочим органом (услугодателем),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финансовым институтом, имеющим лицензию на осуществление микрофинансовой деятельности, или АО "Фонд развития промышленности", и инвестором (услугополучателем) заключается трехсторонний договор и соглашение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или финансовым институтом, имеющим лицензию на осуществление микрофинансовой деятельности или акционерным обществом "Фонд развития промышленности", инвестиционных субсидий на специальном счете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2"/>
    <w:bookmarkStart w:name="z43" w:id="33"/>
    <w:p>
      <w:pPr>
        <w:spacing w:after="0"/>
        <w:ind w:left="0"/>
        <w:jc w:val="both"/>
      </w:pPr>
      <w:r>
        <w:rPr>
          <w:rFonts w:ascii="Times New Roman"/>
          <w:b w:val="false"/>
          <w:i w:val="false"/>
          <w:color w:val="000000"/>
          <w:sz w:val="28"/>
        </w:rPr>
        <w:t>
      При этом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не использует средства инвестиционных субсидий, полученных на специальный счет, до своевременного исполнения условий, указанных в пунктах 34 или 35 настоящих Правил.</w:t>
      </w:r>
    </w:p>
    <w:bookmarkEnd w:id="33"/>
    <w:bookmarkStart w:name="z44" w:id="34"/>
    <w:p>
      <w:pPr>
        <w:spacing w:after="0"/>
        <w:ind w:left="0"/>
        <w:jc w:val="both"/>
      </w:pPr>
      <w:r>
        <w:rPr>
          <w:rFonts w:ascii="Times New Roman"/>
          <w:b w:val="false"/>
          <w:i w:val="false"/>
          <w:color w:val="000000"/>
          <w:sz w:val="28"/>
        </w:rPr>
        <w:t xml:space="preserve">
      34. В случае финансирования инвестора (услугополучателя) путем представления кредита,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в течение 10 (десяти) рабочих дней с даты получения инвестиционных субсидий на специальный счет осуществляет выдачу кредита инвестору (услугополучателю), и представляет подтверждающие документы, копию кредитного договора рабочему органу (услугодателю).</w:t>
      </w:r>
    </w:p>
    <w:bookmarkEnd w:id="34"/>
    <w:bookmarkStart w:name="z45" w:id="35"/>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в срок не более 360 (триста шестьдесят) календарных дней со дня подписания трехстороннего договора и соглашения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или АО "Фонд развития промышленности", денег на специальном счете направляет в рабочий орган (услугодателю) письменное уведомление о завершении поставки техники, машин и (или) оборудования инвестору (услугополучателю) с приложением копии актов приема-передачи техники, машин, оборудования между покупателем и поставщиком, дополнительного соглашения к кредитному договору (при наличии) и соглашение о целевом использовании и не отчуждении объекта инвестиционного субсидирования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35"/>
    <w:bookmarkStart w:name="z46" w:id="36"/>
    <w:p>
      <w:pPr>
        <w:spacing w:after="0"/>
        <w:ind w:left="0"/>
        <w:jc w:val="both"/>
      </w:pPr>
      <w:r>
        <w:rPr>
          <w:rFonts w:ascii="Times New Roman"/>
          <w:b w:val="false"/>
          <w:i w:val="false"/>
          <w:color w:val="000000"/>
          <w:sz w:val="28"/>
        </w:rPr>
        <w:t xml:space="preserve">
      При этом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не может использовать средства, находящиеся на специальном счете, до исполнения требований, предусмотренных частью второй настоящего пункта.</w:t>
      </w:r>
    </w:p>
    <w:bookmarkEnd w:id="36"/>
    <w:bookmarkStart w:name="z47" w:id="37"/>
    <w:p>
      <w:pPr>
        <w:spacing w:after="0"/>
        <w:ind w:left="0"/>
        <w:jc w:val="both"/>
      </w:pPr>
      <w:r>
        <w:rPr>
          <w:rFonts w:ascii="Times New Roman"/>
          <w:b w:val="false"/>
          <w:i w:val="false"/>
          <w:color w:val="000000"/>
          <w:sz w:val="28"/>
        </w:rPr>
        <w:t xml:space="preserve">
      По заявкам инвесторов (услугополучателей), по которым окончательная сумма по кредитному договору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3 (трех) рабочих дней направляет уведомление в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о необходимости восстановления суммы разницы (излишне перечисленных средств на специальный счет) на расчетный счет рабочего органа (услугодателя).</w:t>
      </w:r>
    </w:p>
    <w:bookmarkEnd w:id="37"/>
    <w:bookmarkStart w:name="z48" w:id="38"/>
    <w:p>
      <w:pPr>
        <w:spacing w:after="0"/>
        <w:ind w:left="0"/>
        <w:jc w:val="both"/>
      </w:pPr>
      <w:r>
        <w:rPr>
          <w:rFonts w:ascii="Times New Roman"/>
          <w:b w:val="false"/>
          <w:i w:val="false"/>
          <w:color w:val="000000"/>
          <w:sz w:val="28"/>
        </w:rPr>
        <w:t>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в срок не более 3 (трех) рабочих дней со дня получения уведомления от рабочего органа (услугодателя) восстанавливает средства на расчетный счет рабочего органа (услугодателя) в размере, указанном в уведомлении.</w:t>
      </w:r>
    </w:p>
    <w:bookmarkEnd w:id="38"/>
    <w:bookmarkStart w:name="z49" w:id="39"/>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сумма по кредитному договору фактически превышает максимально допустимую стоимость для расчета субсидий, перерасчет субсидий не осуществляется.</w:t>
      </w:r>
    </w:p>
    <w:bookmarkEnd w:id="39"/>
    <w:bookmarkStart w:name="z50" w:id="40"/>
    <w:p>
      <w:pPr>
        <w:spacing w:after="0"/>
        <w:ind w:left="0"/>
        <w:jc w:val="both"/>
      </w:pPr>
      <w:r>
        <w:rPr>
          <w:rFonts w:ascii="Times New Roman"/>
          <w:b w:val="false"/>
          <w:i w:val="false"/>
          <w:color w:val="000000"/>
          <w:sz w:val="28"/>
        </w:rPr>
        <w:t>
      35. В случае финансирования инвестора путем предоставления техники, машин и (или) оборудования в лизинг,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в течение 10 (десяти) рабочих дней с даты получения копии положительного решения рабочего органа (услугодателя) и средств на специальный счет перечисляет предусмотренные договором финансового лизинга средства на счет инвестора (услугополучателя), если иное не предусмотрено договором между инвестором (услугополучателем) 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финансовым институтом, имеющим лицензию на осуществление микрофинансовой деятельности или АО "Фонд развития промышленности", и предоставляет подтверждающие документы рабочему органу (услугодателю), а также копию договора финансового лизинга.</w:t>
      </w:r>
    </w:p>
    <w:bookmarkEnd w:id="40"/>
    <w:bookmarkStart w:name="z51" w:id="41"/>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в срок не более 180 (ста восьмидесяти) календарных дней со дня получения средств на специальный счет направляет в рабочий орган (услугодателю) письменное уведомление о завершении поставки техники, машин и (или) оборудования инвестору (услугополучателю) с приложением акта приема-передачи предмета лизинга и дополнительного соглашения к договору лизинга по определению окончательной стоимости предмета лизинга.</w:t>
      </w:r>
    </w:p>
    <w:bookmarkEnd w:id="41"/>
    <w:bookmarkStart w:name="z52" w:id="42"/>
    <w:p>
      <w:pPr>
        <w:spacing w:after="0"/>
        <w:ind w:left="0"/>
        <w:jc w:val="both"/>
      </w:pPr>
      <w:r>
        <w:rPr>
          <w:rFonts w:ascii="Times New Roman"/>
          <w:b w:val="false"/>
          <w:i w:val="false"/>
          <w:color w:val="000000"/>
          <w:sz w:val="28"/>
        </w:rPr>
        <w:t xml:space="preserve">
      При этом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не может использовать средства, находящиеся на специальном счете, до исполнения требований, предусмотренных частью второй настоящего пункта.</w:t>
      </w:r>
    </w:p>
    <w:bookmarkEnd w:id="42"/>
    <w:bookmarkStart w:name="z53" w:id="43"/>
    <w:p>
      <w:pPr>
        <w:spacing w:after="0"/>
        <w:ind w:left="0"/>
        <w:jc w:val="both"/>
      </w:pPr>
      <w:r>
        <w:rPr>
          <w:rFonts w:ascii="Times New Roman"/>
          <w:b w:val="false"/>
          <w:i w:val="false"/>
          <w:color w:val="000000"/>
          <w:sz w:val="28"/>
        </w:rPr>
        <w:t xml:space="preserve">
      По заявкам инвесторов (услугополучателей), по которым окончательная стоимость предмета лизинга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3 (трех) рабочих дней направляет уведомление в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о необходимости восстановления суммы разницы (излишне перечисленных средств на специальный счет) на расчетный счет рабочего органа (услугодателя).</w:t>
      </w:r>
    </w:p>
    <w:bookmarkEnd w:id="43"/>
    <w:bookmarkStart w:name="z54" w:id="44"/>
    <w:p>
      <w:pPr>
        <w:spacing w:after="0"/>
        <w:ind w:left="0"/>
        <w:jc w:val="both"/>
      </w:pPr>
      <w:r>
        <w:rPr>
          <w:rFonts w:ascii="Times New Roman"/>
          <w:b w:val="false"/>
          <w:i w:val="false"/>
          <w:color w:val="000000"/>
          <w:sz w:val="28"/>
        </w:rPr>
        <w:t>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в срок не более 3 (трех) рабочих дней со дня получения уведомления от рабочего органа (услугодателя) восстанавливает средства на расчетный счет рабочего органа (услугодателя) в размере, указанном в уведомлении.</w:t>
      </w:r>
    </w:p>
    <w:bookmarkEnd w:id="44"/>
    <w:bookmarkStart w:name="z55" w:id="45"/>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стоимость предмета лизинга фактически превышает максимально допустимую стоимость для расчета субсидий, перерасчет субсидий не осуществляется.</w:t>
      </w:r>
    </w:p>
    <w:bookmarkEnd w:id="45"/>
    <w:bookmarkStart w:name="z56" w:id="46"/>
    <w:p>
      <w:pPr>
        <w:spacing w:after="0"/>
        <w:ind w:left="0"/>
        <w:jc w:val="both"/>
      </w:pPr>
      <w:r>
        <w:rPr>
          <w:rFonts w:ascii="Times New Roman"/>
          <w:b w:val="false"/>
          <w:i w:val="false"/>
          <w:color w:val="000000"/>
          <w:sz w:val="28"/>
        </w:rPr>
        <w:t>
      36. В случае, если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финансовым институтом, имеющим лицензию на осуществление микрофинансовой деятельности или АО "Фонд развития промышленности", не выполняются условия, предусмотренные пунктом 34 настоящих Правил (при финансировании инвестора (услугополучателя) путем представления кредита) или пунктом 35 настоящих Правил (при финансировании инвестора (услугополучателя) путем представления техники, машин и (или) оборудования в лизинг), то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финансовый институт, имеющий лицензию на осуществление микрофинансовой деятельности или АО "Фонд развития промышленности", в течение 3 (трех) рабочих дней восстанавливает средства, перечисленные рабочим органом (услугодателем) на специальный счет в полном объеме. При этом,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46"/>
    <w:bookmarkStart w:name="z57" w:id="47"/>
    <w:p>
      <w:pPr>
        <w:spacing w:after="0"/>
        <w:ind w:left="0"/>
        <w:jc w:val="both"/>
      </w:pPr>
      <w:r>
        <w:rPr>
          <w:rFonts w:ascii="Times New Roman"/>
          <w:b w:val="false"/>
          <w:i w:val="false"/>
          <w:color w:val="000000"/>
          <w:sz w:val="28"/>
        </w:rPr>
        <w:t>
      37. Средства, перечисленные на специальный счет, зачисляются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финансовым институтом, имеющим лицензию на осуществление микрофинансовой деятельности или АО "Фонд развития промышленности", в счет погашения основного долга инвестора (услугополучателя) по кредиту/лизингу, использованного на приобретение техники, машины и оборудования в рамках инвестиционного проекта на основании положительного решения рабочего органа (услугодателя) о предоставлении инвестору (услугополучателю) инвестиционной субсидии.</w:t>
      </w:r>
    </w:p>
    <w:bookmarkEnd w:id="47"/>
    <w:bookmarkStart w:name="z58" w:id="48"/>
    <w:p>
      <w:pPr>
        <w:spacing w:after="0"/>
        <w:ind w:left="0"/>
        <w:jc w:val="both"/>
      </w:pPr>
      <w:r>
        <w:rPr>
          <w:rFonts w:ascii="Times New Roman"/>
          <w:b w:val="false"/>
          <w:i w:val="false"/>
          <w:color w:val="000000"/>
          <w:sz w:val="28"/>
        </w:rPr>
        <w:t>
      38. Мониторинг инвестиционного субсидирования осуществляется в течение 3 (трех) лет с момента субсидирования рабочим органом (услугодателем) в ГИСС по следующим критериям:</w:t>
      </w:r>
    </w:p>
    <w:bookmarkEnd w:id="48"/>
    <w:bookmarkStart w:name="z59" w:id="49"/>
    <w:p>
      <w:pPr>
        <w:spacing w:after="0"/>
        <w:ind w:left="0"/>
        <w:jc w:val="both"/>
      </w:pPr>
      <w:r>
        <w:rPr>
          <w:rFonts w:ascii="Times New Roman"/>
          <w:b w:val="false"/>
          <w:i w:val="false"/>
          <w:color w:val="000000"/>
          <w:sz w:val="28"/>
        </w:rPr>
        <w:t>
      1) ежеквартально на предмет не отчуждения (в том числе в части запрета на замену и передачу в аренду объектов инвестиционного субсидирования) и обеспечения целевого использования инвестором (услугополучателем) приобретенной техники, машин и оборудования;</w:t>
      </w:r>
    </w:p>
    <w:bookmarkEnd w:id="49"/>
    <w:bookmarkStart w:name="z60" w:id="50"/>
    <w:p>
      <w:pPr>
        <w:spacing w:after="0"/>
        <w:ind w:left="0"/>
        <w:jc w:val="both"/>
      </w:pPr>
      <w:r>
        <w:rPr>
          <w:rFonts w:ascii="Times New Roman"/>
          <w:b w:val="false"/>
          <w:i w:val="false"/>
          <w:color w:val="000000"/>
          <w:sz w:val="28"/>
        </w:rPr>
        <w:t>
      2) по паспортам проектов № 7, № 8 (по молокоперерабатывающему заводу), № 10, № 18, № 19, № 24, № 25, № 26, № 27, № 27.1, № 28, № 29 на предмет: действия/бездействия объекта инвестиционного субсидирования не менее 1 (одного) раза в год с момента ввода в эксплуатацию, достижения/недостижения выхода объекта инвестиционного субсидирования на проектную мощность в размере не менее 50 (пятидесяти) % от общей проектной мощности в сроки, предусмотренные бизнес-планом;</w:t>
      </w:r>
    </w:p>
    <w:bookmarkEnd w:id="50"/>
    <w:bookmarkStart w:name="z61" w:id="51"/>
    <w:p>
      <w:pPr>
        <w:spacing w:after="0"/>
        <w:ind w:left="0"/>
        <w:jc w:val="both"/>
      </w:pPr>
      <w:r>
        <w:rPr>
          <w:rFonts w:ascii="Times New Roman"/>
          <w:b w:val="false"/>
          <w:i w:val="false"/>
          <w:color w:val="000000"/>
          <w:sz w:val="28"/>
        </w:rPr>
        <w:t>
      3) не менее 1 (одного) раза в год на предмет исполнения достижения показателей по производительности и/или продуктивности и/или сбыта продукции и/или загрузке производственных мощностей согласно бизнес-плану инвестиционных проектов, по которым осуществлено субсидирование строительно-монтажных работ в соответствии с частью первой пункта 3 настоящих Правил;</w:t>
      </w:r>
    </w:p>
    <w:bookmarkEnd w:id="51"/>
    <w:bookmarkStart w:name="z62" w:id="52"/>
    <w:p>
      <w:pPr>
        <w:spacing w:after="0"/>
        <w:ind w:left="0"/>
        <w:jc w:val="both"/>
      </w:pPr>
      <w:r>
        <w:rPr>
          <w:rFonts w:ascii="Times New Roman"/>
          <w:b w:val="false"/>
          <w:i w:val="false"/>
          <w:color w:val="000000"/>
          <w:sz w:val="28"/>
        </w:rPr>
        <w:t>
      4) не менее 1 (одного) раза в год на предмет ввода в эксплуатацию (в сроки, указанные в бизнес плане), действия/бездействия, не отчуждения, целевого использования объектов, просубсидированных в рамках механизма по перечислению субсидий авансовым платежом на специальный счет;</w:t>
      </w:r>
    </w:p>
    <w:bookmarkEnd w:id="52"/>
    <w:bookmarkStart w:name="z63" w:id="53"/>
    <w:p>
      <w:pPr>
        <w:spacing w:after="0"/>
        <w:ind w:left="0"/>
        <w:jc w:val="both"/>
      </w:pPr>
      <w:r>
        <w:rPr>
          <w:rFonts w:ascii="Times New Roman"/>
          <w:b w:val="false"/>
          <w:i w:val="false"/>
          <w:color w:val="000000"/>
          <w:sz w:val="28"/>
        </w:rPr>
        <w:t>
      5) не менее 1 (одного) раза в год после выплаты субсидий на предмет соответствия вида деятельности инвестора к производству и (или) переработке сельскохозяйственной продукции, основной или вторичный вид деятельности которого относится к разделам ОКЭД соответствующей деятельности;</w:t>
      </w:r>
    </w:p>
    <w:bookmarkEnd w:id="53"/>
    <w:bookmarkStart w:name="z64" w:id="54"/>
    <w:p>
      <w:pPr>
        <w:spacing w:after="0"/>
        <w:ind w:left="0"/>
        <w:jc w:val="both"/>
      </w:pPr>
      <w:r>
        <w:rPr>
          <w:rFonts w:ascii="Times New Roman"/>
          <w:b w:val="false"/>
          <w:i w:val="false"/>
          <w:color w:val="000000"/>
          <w:sz w:val="28"/>
        </w:rPr>
        <w:t xml:space="preserve">
      6) не менее 1 (одного) раза в год по исполнению финансовым институтом договора и соглашения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или АО "Фонд развития промышленности", инвестиционных субсидий на специальном счете.";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68" w:id="55"/>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55"/>
    <w:bookmarkStart w:name="z69" w:id="5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6"/>
    <w:bookmarkStart w:name="z70" w:id="57"/>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7"/>
    <w:bookmarkStart w:name="z71" w:id="5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8"/>
    <w:bookmarkStart w:name="z72" w:id="5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74" w:id="60"/>
      <w:r>
        <w:rPr>
          <w:rFonts w:ascii="Times New Roman"/>
          <w:b w:val="false"/>
          <w:i w:val="false"/>
          <w:color w:val="000000"/>
          <w:sz w:val="28"/>
        </w:rPr>
        <w:t>
      "СОГЛАСОВАН"</w:t>
      </w:r>
    </w:p>
    <w:bookmarkEnd w:id="60"/>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5" w:id="61"/>
      <w:r>
        <w:rPr>
          <w:rFonts w:ascii="Times New Roman"/>
          <w:b w:val="false"/>
          <w:i w:val="false"/>
          <w:color w:val="000000"/>
          <w:sz w:val="28"/>
        </w:rPr>
        <w:t>
      "СОГЛАСОВАН"</w:t>
      </w:r>
    </w:p>
    <w:bookmarkEnd w:id="6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6"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7" w:id="63"/>
      <w:r>
        <w:rPr>
          <w:rFonts w:ascii="Times New Roman"/>
          <w:b w:val="false"/>
          <w:i w:val="false"/>
          <w:color w:val="000000"/>
          <w:sz w:val="28"/>
        </w:rPr>
        <w:t>
      "СОГЛАСОВАН"</w:t>
      </w:r>
    </w:p>
    <w:bookmarkEnd w:id="63"/>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8" w:id="64"/>
      <w:r>
        <w:rPr>
          <w:rFonts w:ascii="Times New Roman"/>
          <w:b w:val="false"/>
          <w:i w:val="false"/>
          <w:color w:val="000000"/>
          <w:sz w:val="28"/>
        </w:rPr>
        <w:t>
      "СОГЛАСОВАН"</w:t>
      </w:r>
    </w:p>
    <w:bookmarkEnd w:id="6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9" w:id="65"/>
      <w:r>
        <w:rPr>
          <w:rFonts w:ascii="Times New Roman"/>
          <w:b w:val="false"/>
          <w:i w:val="false"/>
          <w:color w:val="000000"/>
          <w:sz w:val="28"/>
        </w:rPr>
        <w:t>
      "СОГЛАСОВАН"</w:t>
      </w:r>
    </w:p>
    <w:bookmarkEnd w:id="6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0" w:id="66"/>
      <w:r>
        <w:rPr>
          <w:rFonts w:ascii="Times New Roman"/>
          <w:b w:val="false"/>
          <w:i w:val="false"/>
          <w:color w:val="000000"/>
          <w:sz w:val="28"/>
        </w:rPr>
        <w:t>
      "СОГЛАСОВАН"</w:t>
      </w:r>
    </w:p>
    <w:bookmarkEnd w:id="66"/>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2025 года № 198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83" w:id="67"/>
    <w:p>
      <w:pPr>
        <w:spacing w:after="0"/>
        <w:ind w:left="0"/>
        <w:jc w:val="left"/>
      </w:pPr>
      <w:r>
        <w:rPr>
          <w:rFonts w:ascii="Times New Roman"/>
          <w:b/>
          <w:i w:val="false"/>
          <w:color w:val="000000"/>
        </w:rPr>
        <w:t xml:space="preserve"> Перечень паспортов проектов</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сельскохозяйственной техники,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приоритетных сельскохозяйственных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навесной и прицепной сельскохозяйственной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селекционно-семеноводческой техники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семяочистительно-сортировального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откорма скота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скота/коз молочного направления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убоя скота и переработки мяса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пункта заготовки шерсти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предприятий по переработке шкур и шерсти сельскохозяйственных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тепличного комплекса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от 5 гектаров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от 5 гектаров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производства мяса птицы мощностью от 5 тысяч тонн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селекционно-гибридного центра с мощностью получения и выращивания от 1200 гибридных свиноматок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свиней мощностью от 1000 свиноматок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комбикормового завода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переработки птичьего помета, мощностью 50 тонн/сутки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племенного репродуктора в птицеводстве яичного и мясного направления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зернохранилищ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картофеле-овощехранилищ от 1 000 тонн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фруктохранилищ от 1 000 тонн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переработке плодов/овощей/бахчевых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по переработке картофеля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масложировой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продуктов переработки зерновых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глубокой переработке растениеводческой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сахара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предприятия по производству хлебобулочных и/или кондитерских изделий мощностью от 2 000 тонн продукции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яичных птицефабрик с увеличением производственной мощности от 50 миллионов яиц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агрохимических лабораторий по анализу почв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завода по переработке куриного яйца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2025 года № 198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86" w:id="68"/>
    <w:p>
      <w:pPr>
        <w:spacing w:after="0"/>
        <w:ind w:left="0"/>
        <w:jc w:val="left"/>
      </w:pPr>
      <w:r>
        <w:rPr>
          <w:rFonts w:ascii="Times New Roman"/>
          <w:b/>
          <w:i w:val="false"/>
          <w:color w:val="000000"/>
        </w:rPr>
        <w:t xml:space="preserve"> Перечень паспортов проектов, подлежащих субсидированию</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6"/>
        <w:gridCol w:w="167"/>
        <w:gridCol w:w="167"/>
        <w:gridCol w:w="167"/>
        <w:gridCol w:w="167"/>
        <w:gridCol w:w="167"/>
        <w:gridCol w:w="167"/>
        <w:gridCol w:w="167"/>
        <w:gridCol w:w="167"/>
        <w:gridCol w:w="167"/>
        <w:gridCol w:w="167"/>
        <w:gridCol w:w="167"/>
        <w:gridCol w:w="167"/>
        <w:gridCol w:w="167"/>
        <w:gridCol w:w="167"/>
        <w:gridCol w:w="167"/>
        <w:gridCol w:w="167"/>
      </w:tblGrid>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 "Приобретение сельскохозяйственной техники, машин и оборудования"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на одну единицу техники, гектар/условных голов крупного рогатого скота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Свеклоуборочный комбайн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457 733 000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Рисоуборочный комбайн от 80 лошадиных сил (включительно) на гусеничном ходу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 мощностью от 201 лошадиных сил (включительно)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135 667 000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однорядный прицепной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двухрядный (трехрядный) прицепной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Лукоуборочный комбайн: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уборки кукурузы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комбайн для сбора ягодных культур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Протравитель семян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Зернопогрузчики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Зернометатели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полей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лазерный планировщик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скрепер-планировщик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 роторная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тюковоз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грубых кормов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 жатка, самоходная косилка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кормоуборочная жатка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 валкоукладчик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 с емкостью ковша до 1,8 кубических метра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 (мобильная зерносушилка) от 49-145 тонн в сутки (включительно)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 (прицепная):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 удобрений: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10 тонн (включительно)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10,1-25 тонн (включительно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25,1 тонн (включительно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Камнеуборочная машина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самосвал с колесной формулой 6х4, с объемом двигателя от 10,90 литра до 15,0 литра, с двусторонним или трехсторонним типом разгрузки самосвальной платформы для перевозки сельскохозяйственных и прочих инертных грузов**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самосвальный с двусторонним типом разгрузки самосвальной платформы, для перевозки сельскохозяйственных и прочих инертных грузов, с двускатной ошиновкой, полной массой не более 16000 килограммов**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кормораздатчик-измельчитель-измельчитель (емкостью не менее 2,2 кубических метра)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зерна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Картофелекопалка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гербицидник между рядами с объемом бака 600 литров и более***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садовый объемом 2000 литров***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Пересадчик для открытия/закрытия с 2 дисками***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выкопочный***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Гребнеобразующая фреза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для пастбищ (генератор электропастуха, понижающий трансформатор, изоляторы, проволока не менее 2 рядов)****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голов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Прицеп-сеновоз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авиационные системы (БАС) сельскохозяйственные многофункциональные (для распыления пестицидов, разбрасывания семян, удобрений и других)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вентиляторный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 с шириной захвата 20 – 100 метров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 с шириной захвата 20 – 100 метров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Шарнирная сетка для ограждения сельскохозяйственных земель от потравы сайгаками*****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погонный метр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Столбы (металлические или бетонные) для фиксации шарнирной сетки для ограждения сельскохозяйственных земель от потравы сайгаками*****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В случае приобретения автомобиля для перевозки грузов сельскохозяйственного назначения необходим наличие земельной площади не менее 120 гектаров;</w:t>
            </w:r>
          </w:p>
          <w:p>
            <w:pPr>
              <w:spacing w:after="20"/>
              <w:ind w:left="20"/>
              <w:jc w:val="both"/>
            </w:pPr>
            <w:r>
              <w:rPr>
                <w:rFonts w:ascii="Times New Roman"/>
                <w:b w:val="false"/>
                <w:i w:val="false"/>
                <w:color w:val="000000"/>
                <w:sz w:val="20"/>
              </w:rPr>
              <w:t>
** позиции 32, 33 субсидируются за счет средств из местного бюджета.</w:t>
            </w:r>
          </w:p>
          <w:p>
            <w:pPr>
              <w:spacing w:after="20"/>
              <w:ind w:left="20"/>
              <w:jc w:val="both"/>
            </w:pPr>
            <w:r>
              <w:rPr>
                <w:rFonts w:ascii="Times New Roman"/>
                <w:b w:val="false"/>
                <w:i w:val="false"/>
                <w:color w:val="000000"/>
                <w:sz w:val="20"/>
              </w:rPr>
              <w:t>
*** субсидируется техника, приобретенная для закладки маточников многолетних насаждений плодово-ягодных культур и винограда.</w:t>
            </w:r>
          </w:p>
          <w:p>
            <w:pPr>
              <w:spacing w:after="20"/>
              <w:ind w:left="20"/>
              <w:jc w:val="both"/>
            </w:pPr>
            <w:r>
              <w:rPr>
                <w:rFonts w:ascii="Times New Roman"/>
                <w:b w:val="false"/>
                <w:i w:val="false"/>
                <w:color w:val="000000"/>
                <w:sz w:val="20"/>
              </w:rPr>
              <w:t>
**** максимальная допустимая стоимость ограждения для пастбищ не должна превышать 16 миллионов тенге на 1000 гектаров. Для расчета субсидии самоходной техники и машин в проекте паспортов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 позиции 46, 47 субсидируются за счет средств из местного бюджета.</w:t>
            </w:r>
          </w:p>
          <w:p>
            <w:pPr>
              <w:spacing w:after="20"/>
              <w:ind w:left="20"/>
              <w:jc w:val="both"/>
            </w:pPr>
            <w:r>
              <w:rPr>
                <w:rFonts w:ascii="Times New Roman"/>
                <w:b w:val="false"/>
                <w:i w:val="false"/>
                <w:color w:val="000000"/>
                <w:sz w:val="20"/>
              </w:rPr>
              <w:t>
Диаметр проволоки сетки не менее 2,5 миллиметра, высота сетки не менее 1,6 метра.</w:t>
            </w:r>
          </w:p>
          <w:p>
            <w:pPr>
              <w:spacing w:after="20"/>
              <w:ind w:left="20"/>
              <w:jc w:val="both"/>
            </w:pPr>
            <w:r>
              <w:rPr>
                <w:rFonts w:ascii="Times New Roman"/>
                <w:b w:val="false"/>
                <w:i w:val="false"/>
                <w:color w:val="000000"/>
                <w:sz w:val="20"/>
              </w:rPr>
              <w:t>
Размеры ячейки сетки: ширина не более 100 миллиметров, высота не более 75 миллиметров.</w:t>
            </w:r>
          </w:p>
          <w:p>
            <w:pPr>
              <w:spacing w:after="20"/>
              <w:ind w:left="20"/>
              <w:jc w:val="both"/>
            </w:pPr>
            <w:r>
              <w:rPr>
                <w:rFonts w:ascii="Times New Roman"/>
                <w:b w:val="false"/>
                <w:i w:val="false"/>
                <w:color w:val="000000"/>
                <w:sz w:val="20"/>
              </w:rPr>
              <w:t>
Расстояние между столбами не более 3-5 метров.</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"Приобретение приоритетных сельскохозяйственных машин и оборудования" *</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приоритетных сельскохозяйственных машин и оборудования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59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60 до 84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85 до 129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130 до 140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141 до 160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161 до 180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181 до 300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301 до 430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431 до 539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181 685 000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540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 с двигателем PowerTech™, и/или системой телематики JDLink™, и/или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мощностью до 129 лошадиных сил (включительно)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130 до 150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151 до 220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221 до 279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280 до 430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431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201 - 400 лошадиных сил</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 с двигателем PowerTech™, системой телематики JDLink™,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539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540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249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250 до 299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300 до 359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360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 с двигателем PowerTech™ и/или системой телематики JDLink™, и/или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299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300 до 449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450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(кормоуборочный) комбайн: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200 до 449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(кормоуборочный) комбайн: с двигателем PowerTech™ и системой телематики JDLink™, компонентами пропускного тракта с технологией Dura Line™.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500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501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 с двигателем PowerTech™ и (или) системой телематики JDLink™, с рядковыми элементами по сбору хлопка PRO12 или MR16 или MR12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500 лошадиных сил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501 лошадиных сил (включительно)</w:t>
            </w:r>
          </w:p>
          <w:p>
            <w:pPr>
              <w:spacing w:after="20"/>
              <w:ind w:left="20"/>
              <w:jc w:val="both"/>
            </w:pPr>
            <w:r>
              <w:rPr>
                <w:rFonts w:ascii="Times New Roman"/>
                <w:b w:val="false"/>
                <w:i w:val="false"/>
                <w:color w:val="000000"/>
                <w:sz w:val="20"/>
              </w:rPr>
              <w:t>
(с двигателем PowerTech™ и системой телематики JDLink™, рядковые элементы по сбору хлопка MR16 и cо встроенной автоматической камерой прессования хлопка и упаковки в рулоны, покрытые пленкой TamaWrap+™ и системой контроля процесса тюкования Cotton Pro (HID, Cotton Pro), с монитором управления CommandCenter™ G5Plus, функцией автоматического вождения по рядкам AutoTrac™ RowSense™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посева зерна и зернобобовых культур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 сеялка/посевной комплекс: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15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15,1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со стойками для сошников TruPosition™ или сошниками ConservaPak™ или сошниками ProSeries™, система контроля забивания семяпроводов RelativeFlow™. Бункер для семян из пластика, конвейерный тип транспортера, высевающий аппарат с дозирующими высевающими катушками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пневматическая сеялка /посевной комплекс: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15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15,1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зерновая сеялка с двухдисковым сошником или сошником ProSeries™, комбинированным бункером для семян и удобрений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точного высева с высевающей секцией MaxEmerge или ExactEmerge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24 рядов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рядов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тонн в час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20,1-40 тонн в час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40,1 тонн в час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зерна и семян: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предварительной очистки зерна до 150 тонн в час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очистки зерна барабанного типа до 60 тонн в час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и вторичной очистки зерна с плоскорешетными станами от 40 до 60 тонн в час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и вторичной очистки зерна с плоскорешетными станами от 60 до 120 тонн в час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 ленточный, производительность от 100-до 200 тонн в час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 скребковый, производительность от 100-до 200 тонн в час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(элеватор) зерновая, производительность от 50-до 200 тонн в час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15 491 840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Аэродинамическая сортировальная машина, производительность от 10 до 30 тонн в час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пневмосортировальный, производительность до 10 тонн в час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Винтовой конвейер производительность 60 тонн/час длина 8 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Триерный блок, производительность от 8 до 12 тонн в час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2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2,1-4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4,1 метра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20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кольчато-шпоровый/зубчатый каток гладкий водоналивной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5-9,9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культиватор со стойками TruPosition™ и тандемные колеса для копирования рельефа Walk-Over, и (или) с регулировкой глубины в одной точке Single Point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5-9,9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почвообрабатывающий, комбинированное орудие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8,9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 метра: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 с мотовилом с композитными пальцами и/или c системой автоматической скорости мотовила Dial-a-Speed и/или с системой копирования рельефа Active Header Control/HydroFlex/Active Header Float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7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7,1 до 8,9 метра: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 до 12,9 метра: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от13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для комбайна с контролем управления высоты - cистема копирования рельефа HCU/AHC, пластиковыми пальцами ленты подборщика, системой автоматической скорости ленты Dial-a-Speed и/или системой амортизации FieldGlide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 с технологией контроля глубины TruSet™ и (или) с регулировкой глубины в одной точке Single Рoint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щелеватель</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 ворошилки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поперечные гидравлические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9,9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снегопах, валкообразователь, валкоукладчик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 совместимый с тракторами оборудованных функцией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 с фиксированной камерой прессования, с системой предварительного измельчения MaxiCut HC 2,2 м или со стандартным подборщиком 1,79 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 с системой регулировки смещения, централизованная система смазки узловязателей; очистной вентилятор узловязателя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зеленых кормов (для силоса, сенажа): с упаковкой в пленку и внесением консервантов B-Wrap, с системой взвешивания и измерением влажности и система контроля параметров работы СommandCenter, уникальная система обвязки CoverEdge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100 070 000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3,9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4-5,9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косилки с навигационной системой AutoTrac™, системой автоматической скорости мотовила Dial-a-Speed, системой передвижения столов и автоматическим реверсированием лент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1501-2400 литров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2401 литра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опрыскивающего оборудования (для установки на транспортное шасси)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опрыскиватель: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 с системой распыления раствора с функциями AutoFill и AutoDiluter системой стабилизации штанги BoomTrac™ или TerrainControl Pro™/TerrainCommand Pro™, дисплей управления системами CommandCenter™</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с двигателем PowerTech™ и системой телематики JDLink™, система стабилизации штанги BoomTrac™ или TerrainControl Pro™ / Terrain Command Pro™, навигационной системой AutoTrac™, дисплей управления системами Command Center™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до 3000 литров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3001 до 5999 литра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6000 литра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смешивающий комплекс для средств защиты растений, производительность насоса от 200 до 2000 литров в минуту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Смешивающий комплекс для средств защиты растений, производительность насоса от 200 до 2000 литров в минуту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 машина для внесения жидких удобрений, объем до 8001 литров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разбрасыватель удобрений с двигателем PowerTech™ и системой телематики JDLink™, навигационной системой AutoTrac™, дисплей управления системами CommandCenter™</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для расчета субсидии самоходной техники и машин в проекте паспортов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 в максимальной допустимой стоимости для расчета субсидий на зерноуборочные комбайны предусмотрена стоимость жатки и (или) платформа подборщика. В случае приобретения зерноуборочного комбайна без жатки и (или) платформа подборщика допускается расчет субсидии, без учета стоимости жатки и (или) платформа подборщика.</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"Приобретение навесной и прицепной сельскохозяйственной техники"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для посева зерна и зернобобовых культур: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3 метров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3.1 метров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Пневматическая/посевной комплекс: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6 метров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6.1-12 метров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149 514 000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12.1 метров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4,0 метров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4,1 метров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6,0 метров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12 метров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12,1-20 метров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6-9 метров: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9,1 метра: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 косилки дисковая: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8 метров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8,1 метров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до 4,0 метров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от 4,1 метров (включительно)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*субсидирование осуществляется по технике, машинам и оборудованию, приобретенным до 25 мая 2024 года (включительно).</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 "Приобретение селекционно-семеноводческой техники и оборудования"*</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техники/оборудования,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комбайны**: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 с системой взвешивания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75 лошадиных сил</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115 лошадиных сил с системой взвешивания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 с системой взвешивания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сеялки**: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пунктирного посева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сеялка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селекционно-семеноводческое оборудование:</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малых партий семян до 3 килограммов</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партий семян от 10 килограмм производительностью до 50 килограммов/час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производительностью до 300 килограммов /час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для отдельных колосков и малых снопов</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однопочатковая молотилка производительностью до 300 килограммов /час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2 подбарабаньями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 проб для раздела проб зерна на 6 частей</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счетчик семян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измельчитель</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посевного материала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машина для бережной очистки и сортировки семян до 50 килограммов/час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xml:space="preserve">
* Субсидируются техника и оборудование, приобретенные аттестованными производителями оригинальных семян и элитно-семеноводческими хозяйствами, осуществляющими деятельность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семеноводстве" (далее – Закон о семеноводстве).</w:t>
            </w:r>
          </w:p>
          <w:p>
            <w:pPr>
              <w:spacing w:after="20"/>
              <w:ind w:left="20"/>
              <w:jc w:val="both"/>
            </w:pPr>
            <w:r>
              <w:rPr>
                <w:rFonts w:ascii="Times New Roman"/>
                <w:b w:val="false"/>
                <w:i w:val="false"/>
                <w:color w:val="000000"/>
                <w:sz w:val="20"/>
              </w:rPr>
              <w:t>
** Селекционная техника субсидируется с учетом площади питомников испытания потомств и питомников размножения, имеющихся у аттестованных производителей оригинальных семян и элитно-семеноводческих хозяйств. Одна единица селекционной техники рассчитывается на каждые 20 гектаров площади питомников испытания потомств и питомников размножения. Субсидирование следующей единицы техники одного вида допускается при превышении площади на 50 % от установленного норматива.</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 "Приобретение семяочистительно-сортировального оборудования"*</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оборудования,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(первичный сепаратор, решетный стан, вторичный сепаратор, фотосепаратор**, дражератор**, триерный блок, пневмостол), очистки рабочей поверхности решет, транспортировки (транспортеры, нории, цепные и ленточные транспортеры, комплект самотечных труб, аспирационные трубы, перекидные клапана, распределитель для автоотгрузки), протравливатель**, затаривания в мешки**, автоматизации комплекса (пульт управления и кабельный материал).</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Республики Казахстан, Стран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Республики Казахстан, Стран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Республики Казахстан, Стран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Субсидируется оборудование, приобретенное аттестованными производителями оригинальных семян, элитно-семеноводческими и семеноводческими хозяйствами, осуществляющими деятельность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о семеноводстве;</w:t>
            </w:r>
          </w:p>
          <w:p>
            <w:pPr>
              <w:spacing w:after="20"/>
              <w:ind w:left="20"/>
              <w:jc w:val="both"/>
            </w:pPr>
            <w:r>
              <w:rPr>
                <w:rFonts w:ascii="Times New Roman"/>
                <w:b w:val="false"/>
                <w:i w:val="false"/>
                <w:color w:val="000000"/>
                <w:sz w:val="20"/>
              </w:rPr>
              <w:t>
** приобретение оборудования при необходимости.</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4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объекта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водопойного пункта (один из нижеследующих):</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 (вне зависимости от глубины колодца предельная глубина для субсидирования составляет не более 20 метров)</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 с предельно допустимой глубиной подлежащей субсидированию – не более 50 метров;</w:t>
            </w:r>
          </w:p>
        </w:tc>
        <w:tc>
          <w:tcPr>
            <w:tcW w:w="0" w:type="auto"/>
            <w:gridSpan w:val="25"/>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пустынных и полупустынных зон – не более 375 метров</w:t>
            </w:r>
          </w:p>
        </w:tc>
        <w:tc>
          <w:tcPr>
            <w:tcW w:w="0" w:type="auto"/>
            <w:gridSpan w:val="25"/>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*Площадь обводнения одного колодца составляет до 2 000 гектаров пастбищ.</w:t>
            </w:r>
          </w:p>
          <w:p>
            <w:pPr>
              <w:spacing w:after="20"/>
              <w:ind w:left="20"/>
              <w:jc w:val="both"/>
            </w:pPr>
            <w:r>
              <w:rPr>
                <w:rFonts w:ascii="Times New Roman"/>
                <w:b w:val="false"/>
                <w:i w:val="false"/>
                <w:color w:val="000000"/>
                <w:sz w:val="20"/>
              </w:rPr>
              <w:t>
** Наличие у инвестора не менее 50 условных голов крупного рогатого скота на один колодец на момент подачи заявки на субсидирование.</w:t>
            </w:r>
          </w:p>
          <w:p>
            <w:pPr>
              <w:spacing w:after="20"/>
              <w:ind w:left="20"/>
              <w:jc w:val="both"/>
            </w:pPr>
            <w:r>
              <w:rPr>
                <w:rFonts w:ascii="Times New Roman"/>
                <w:b w:val="false"/>
                <w:i w:val="false"/>
                <w:color w:val="000000"/>
                <w:sz w:val="20"/>
              </w:rPr>
              <w:t>
При строительстве трубчатого колодца (скважины) диаметр трубы должен быть не менее 168 миллиметров и толщина стены трубы не менее 5 миллиметров, за исключением колодцев построенных до 1 января 2024 года.</w:t>
            </w:r>
          </w:p>
          <w:p>
            <w:pPr>
              <w:spacing w:after="20"/>
              <w:ind w:left="20"/>
              <w:jc w:val="both"/>
            </w:pPr>
            <w:r>
              <w:rPr>
                <w:rFonts w:ascii="Times New Roman"/>
                <w:b w:val="false"/>
                <w:i w:val="false"/>
                <w:color w:val="000000"/>
                <w:sz w:val="20"/>
              </w:rPr>
              <w:t>
Обязательным пунктом в договоре является гарантия подрядчика по обеспечению в течение года дебета воды, указанного в паспорте объекта.</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5 "Создание и расширение объектов для откорма скота"</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техники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крупного рогатого скота, кормушками с бетонными площадками шириной не менее 3 метров (из расчета на 1 голову от 30 сантиметров кормового стола), автоматизированной системой водоснабжения с автопоилками, ветеринарным пунктом с оборудованием для работы со скотом (с фиксатором), кормоцехом, наличие емкостей или помещений/площадкой для хранения от 5 000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овец, кормушками, твердыми площадками (из расчета на 1 голову – не менее 10 сантиметров кормового стола) или переносным устройством для кормления концентрированным кормом, автоматизированной системой водоснабжения с автопоилками, ветеринарным пунктом с оборудованием для работы с мелким рогатым скотом (раскол, фиксатор), трапом для разгрузки и погрузки скота, кормоцехом либо дробилкой/плющилкой зерна, емкостями или площадкой для хранения от 1 000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мелкого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p>
            <w:pPr>
              <w:spacing w:after="20"/>
              <w:ind w:left="20"/>
              <w:jc w:val="both"/>
            </w:pPr>
            <w:r>
              <w:rPr>
                <w:rFonts w:ascii="Times New Roman"/>
                <w:b w:val="false"/>
                <w:i w:val="false"/>
                <w:color w:val="000000"/>
                <w:sz w:val="20"/>
              </w:rPr>
              <w:t>
10 000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 – для перевозки скота, один на тысячу условных голов крупного рогатого скота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1-единица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 для перевозки скота, один на тысячу голов условных голов крупного рогатого скота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6 "Создание и расширение объектов для выращивания крупного рогатого скота/коз молочного направления"</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 молочного направления мощностью от 400 голов маточного поголовья: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коровника, телятника, доильного зала, кормоцеха, родильного помещения с профилакторием, выгульными площадками с необходимой техникой и оборудованием для обслуживания объекта, навозохранилищем. Здание коровника, оснащенного оборудованием: боксы для коров, кормовые столы с фиксацией (при необходимости), ограждения внутренних проходов, приспособления для чесания коров, оборудования вентиляции (при необходимости), водоснабжения, система для сепарации жидкого навоза (при необходимости), лечебно-санитарным пунктом; роботизированная доильная установка или доильный зал, оснащенный автоматизированной доильной установкой (карусель, параллель, елочка, тандем) и/или молокопровод, танкер охладитель молока, система контроля физического состояния коров; телятник, оснащенный клетками для содержания телят; силосные траншеи. Стоимость инвестиционного проекта определяется согласно проектно-сметной документации: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молочно-товарной фермы от 50 голов маточного поголовья: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Танк-охладитель молока</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0" w:type="auto"/>
            <w:gridSpan w:val="1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Стойловое оборудование для содержания коров (перегородка)</w:t>
            </w:r>
          </w:p>
        </w:tc>
        <w:tc>
          <w:tcPr>
            <w:tcW w:w="0" w:type="auto"/>
            <w:gridSpan w:val="1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 забор (хэдлок)</w:t>
            </w:r>
          </w:p>
        </w:tc>
        <w:tc>
          <w:tcPr>
            <w:tcW w:w="0" w:type="auto"/>
            <w:gridSpan w:val="1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(резиновое покрытие пола)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коз молочного направления мощностью от 600 голов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для содержания коз, доильного зала, кормоцеха, родильного помещения с профилакторием; здание для содержания козлов-производителей с выгульной площадкой. Стоимость инвестиционного проекта определяется согласно проектно-сметной документации: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новом строительстве</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7 "Создание и расширение объектов для убоя скота и переработки мяса"</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производственной мощностью от 8 условных голов в час с автоматизированной технологической линией для убоя скота, холодильными камерами созревания мяса, цехом обвалки и жиловки, цехом обработки субпродуктов и шкур, шоковой заморозки мяса, цехом упаковки готовой продукции, холодильными камерами для хранения готовой продукции, цехом переработки отходов, очистными сооружениями, инфраструктурой и оборудованием систем жизнедеятельности, лабораторией ветсанэкспертизы. Стоимость инвестиционного проекта определяется согласно проектно-сметной документации: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голова в одну смену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(цех) по производству колбасных изделий и (или) полуфабрикатов и (или) консервов от 5 тонн в сутки с холодильными камерами для хранения сырья, цехом обвалки и жиловки, линией по производству колбасных изделий и мясных продуктов и (или) консервов и (или) полуфабрикатов в вакуумной и (или) газовой упаковке, холодильными камерами для хранения готовой продукции. Стоимость инвестиционного проекта определяется согласно проектно-сметной документации: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в сутки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w:t>
            </w:r>
          </w:p>
        </w:tc>
        <w:tc>
          <w:tcPr>
            <w:tcW w:w="0" w:type="auto"/>
            <w:gridSpan w:val="1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 с подвесными путями*</w:t>
            </w:r>
          </w:p>
        </w:tc>
        <w:tc>
          <w:tcPr>
            <w:tcW w:w="0" w:type="auto"/>
            <w:gridSpan w:val="1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мяса и мясопродуктов)*:</w:t>
            </w:r>
          </w:p>
        </w:tc>
        <w:tc>
          <w:tcPr>
            <w:tcW w:w="0" w:type="auto"/>
            <w:gridSpan w:val="1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1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1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Полуприцеп-скотовоз, разделенный на секции, с трапом для погрузки/разгрузки скота*</w:t>
            </w:r>
          </w:p>
        </w:tc>
        <w:tc>
          <w:tcPr>
            <w:tcW w:w="0" w:type="auto"/>
            <w:gridSpan w:val="1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скотовоза*</w:t>
            </w:r>
          </w:p>
        </w:tc>
        <w:tc>
          <w:tcPr>
            <w:tcW w:w="0" w:type="auto"/>
            <w:gridSpan w:val="1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на 1 мясоперерабатывающее предприятие не более двух единиц.</w:t>
            </w:r>
          </w:p>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техники/машин/ оборудования, тенге</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 производственной мощностью от 1 тонны в сутки с технологическим оборудованием для переработки молока, фасовки и хранения молочных продуктов. Стоимость инвестиционного проекта определяется согласно проектно-сметной документации: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с отделкой, отоплением, системой инженерии, монтажом оборудования: охладитель молока, стол с раковиной из нержавеющей стали, насос молочный, электрический водонагреватель, счетчики молока, анализатор молока, фильтры.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сельскохозяйственных кооперативов, заготовительных организаций, молокоприемных пунктов: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молока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молочный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водонагреватель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молока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анализа качества молока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 фильтром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(дизельная или бензиновая)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лабораторного оборудования для сельскохозяйственных кооперативов, заготовительных организаций, молокоприемных пунктов и молокоперерабатывающих предприятий: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индикаторы для определения мастита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для определения качества и безопасности молока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образцов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и (или) полуприцеп молоковоз с теплоизоляцией для недопущения изменения температуры жидкости: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 тонны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4 тонн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7 тонн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12 тонн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полуприцепа с емкостью от 12 тонн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Прицеп-цистерна для перевозки молока: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 литров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400 литров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900 литров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1100 литров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молокопродуктов)*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до 10 тонн*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от 10 тонн*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производства сухого молока и/или молочной сыворотки для расширения действующих молокоперерабатывающих предприятий (вальцовая сушилка, дробление или распылительная установка)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на 1 молокоперерабатывающий завод не более двух единиц.</w:t>
            </w:r>
          </w:p>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9 "Приобретение оборудования для пункта заготовки шерсти"</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тенге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Стригальный пункт:</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(на 1 единицу)</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разрыхлительно-очистительное для шерстяных угаров (не более 1 комплекта)</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стригальный пункт (двухосный автоприцеп с раскрывающимся кузовом, сортировочная сетка, пресс, экспресс оборудования для определения тонины, штабелер).</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10 "Создание и расширение предприятий по переработке шкур и шерсти сельскохозяйственных животных"</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первичной переработке шерсти от 350 килограммов /час</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глубокой переработке шерсти от 1000 килограммов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первичной переработке шкур КРС от 600 штук в сутки, МРС – 2000 штук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глубокой переработке шкур КРС от 2 000 штук в сутки, МРС – 5 000 штук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c долей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"Строительство и расширение тепличного комплекса"</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(при необходимости), производства углекислого газа, зашторивания, технологию беспочвенного выращивания на искусственном субстрате (в случае отсутствия почвы для выращивания), автоматические системы малообъемного выращивания культур (капельное орошение, узлы подготовки питательных растворов, водоподготовка):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из пленки/поликарбоната:</w:t>
            </w:r>
          </w:p>
          <w:p>
            <w:pPr>
              <w:spacing w:after="20"/>
              <w:ind w:left="20"/>
              <w:jc w:val="both"/>
            </w:pPr>
            <w:r>
              <w:rPr>
                <w:rFonts w:ascii="Times New Roman"/>
                <w:b w:val="false"/>
                <w:i w:val="false"/>
                <w:color w:val="000000"/>
                <w:sz w:val="20"/>
              </w:rPr>
              <w:t>
1.1. Строительство.</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288 966 000</w:t>
            </w:r>
          </w:p>
          <w:p>
            <w:pPr>
              <w:spacing w:after="20"/>
              <w:ind w:left="20"/>
              <w:jc w:val="both"/>
            </w:pPr>
            <w:r>
              <w:rPr>
                <w:rFonts w:ascii="Times New Roman"/>
                <w:b w:val="false"/>
                <w:i w:val="false"/>
                <w:color w:val="000000"/>
                <w:sz w:val="20"/>
              </w:rPr>
              <w:t>
(при строительстве)</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1.2.Расширение.</w:t>
            </w:r>
          </w:p>
        </w:tc>
        <w:tc>
          <w:tcPr>
            <w:tcW w:w="0" w:type="auto"/>
            <w:gridSpan w:val="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144 483 000</w:t>
            </w:r>
          </w:p>
          <w:p>
            <w:pPr>
              <w:spacing w:after="20"/>
              <w:ind w:left="20"/>
              <w:jc w:val="both"/>
            </w:pPr>
            <w:r>
              <w:rPr>
                <w:rFonts w:ascii="Times New Roman"/>
                <w:b w:val="false"/>
                <w:i w:val="false"/>
                <w:color w:val="000000"/>
                <w:sz w:val="20"/>
              </w:rPr>
              <w:t>
(при расширении)</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Покрытие из стекла:</w:t>
            </w:r>
          </w:p>
        </w:tc>
        <w:tc>
          <w:tcPr>
            <w:tcW w:w="0" w:type="auto"/>
            <w:gridSpan w:val="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Строительство</w:t>
            </w:r>
          </w:p>
        </w:tc>
        <w:tc>
          <w:tcPr>
            <w:tcW w:w="0" w:type="auto"/>
            <w:gridSpan w:val="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540 845 000</w:t>
            </w:r>
          </w:p>
          <w:p>
            <w:pPr>
              <w:spacing w:after="20"/>
              <w:ind w:left="20"/>
              <w:jc w:val="both"/>
            </w:pPr>
            <w:r>
              <w:rPr>
                <w:rFonts w:ascii="Times New Roman"/>
                <w:b w:val="false"/>
                <w:i w:val="false"/>
                <w:color w:val="000000"/>
                <w:sz w:val="20"/>
              </w:rPr>
              <w:t>
(при строительстве)</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Расширение</w:t>
            </w:r>
          </w:p>
        </w:tc>
        <w:tc>
          <w:tcPr>
            <w:tcW w:w="0" w:type="auto"/>
            <w:gridSpan w:val="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270 422 500</w:t>
            </w:r>
          </w:p>
          <w:p>
            <w:pPr>
              <w:spacing w:after="20"/>
              <w:ind w:left="20"/>
              <w:jc w:val="both"/>
            </w:pPr>
            <w:r>
              <w:rPr>
                <w:rFonts w:ascii="Times New Roman"/>
                <w:b w:val="false"/>
                <w:i w:val="false"/>
                <w:color w:val="000000"/>
                <w:sz w:val="20"/>
              </w:rPr>
              <w:t>
(при расширении)</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13 "Закладка интенсивного яблоневого сада от 5 гектаров"</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 машин/ оборудования, тенге</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осуществляется по следующей технологии: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 с количеством саженцев от 2000 до 5714 штук на 1 гектар***; с применением шпалер (опор), включающих натяжные (основные) столбы, промежуточные столбы (высотой не менее 2,0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с применением системы капельного орошения; с использованием защитной сетки (противоградовая, солнцезащитная) из материала, не содержащего токсичных элементов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9"/>
            <w:vMerge/>
            <w:tcBorders>
              <w:top w:val="nil"/>
              <w:left w:val="single" w:color="cfcfcf" w:sz="5"/>
              <w:bottom w:val="single" w:color="cfcfcf" w:sz="5"/>
              <w:right w:val="single" w:color="cfcfcf" w:sz="5"/>
            </w:tcBorders>
          </w:tc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9"/>
            <w:vMerge/>
            <w:tcBorders>
              <w:top w:val="nil"/>
              <w:left w:val="single" w:color="cfcfcf" w:sz="5"/>
              <w:bottom w:val="single" w:color="cfcfcf" w:sz="5"/>
              <w:right w:val="single" w:color="cfcfcf" w:sz="5"/>
            </w:tcBorders>
          </w:tc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9"/>
            <w:vMerge/>
            <w:tcBorders>
              <w:top w:val="nil"/>
              <w:left w:val="single" w:color="cfcfcf" w:sz="5"/>
              <w:bottom w:val="single" w:color="cfcfcf" w:sz="5"/>
              <w:right w:val="single" w:color="cfcfcf" w:sz="5"/>
            </w:tcBorders>
          </w:tc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9"/>
            <w:vMerge/>
            <w:tcBorders>
              <w:top w:val="nil"/>
              <w:left w:val="single" w:color="cfcfcf" w:sz="5"/>
              <w:bottom w:val="single" w:color="cfcfcf" w:sz="5"/>
              <w:right w:val="single" w:color="cfcfcf" w:sz="5"/>
            </w:tcBorders>
          </w:tc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9"/>
            <w:vMerge/>
            <w:tcBorders>
              <w:top w:val="nil"/>
              <w:left w:val="single" w:color="cfcfcf" w:sz="5"/>
              <w:bottom w:val="single" w:color="cfcfcf" w:sz="5"/>
              <w:right w:val="single" w:color="cfcfcf" w:sz="5"/>
            </w:tcBorders>
          </w:tc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субсидирование защитной сетки (противоградовая, солнцезащитная) осуществляется по факту установки в течении четырех лет закладки сада, поданному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интенсивный яблоневый сад,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 и более минимального норматива в 20 гектаров. Наличие соответствующих минимальному нормативу площадей земель под интенсивный яблоневый сад,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яблоневого сада составляет не менее 5 гектар субсидируется закладка яблоневого сада менее 5 гектар. Саженцы, просубсидированные в рамках настоящих Правил, не субсидируются в рамках Правил субсидирования повышения урожайности и качества продукции растениеводства (далее – Правила субсидирования повышения урожайности),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равно как саженцы, просубсидированные в рамках Правил субсидирования повышения урожайности не субсидируются в рамках настоящих Правил.</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14 "Закладка плодово-ягодных культур и винограда от 5 гектаров"</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 машин/ оборудования, тенге</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осуществляется по следующей технологии: с использованием саженцев на средне- и высокорослых подвоях, посадочный материал должен быть свободным от болезней и вредителей; с применением шпалер (опор), включающих натяжные (основные) столбы, промежуточные столбы (высотой не менее 2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(при необходимости); с применением системы капельного орошения (за исключением яблони сорта Апорт); с количеством саженцев на 1 гектар***: плодовых семечковых культур – от 500 до 2000 штук; плодовых косточковых культур – от 200 до 2000 штук; орехоплодных культур от 100 до 500 штук; виноград – от 1150 до 2667 штук; ягодных культур – до 40 000 штук на 1 гектар.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4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отечественных саженцев:</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(плодовых семечковых культур);</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(плодовых косточковых культур);</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(винограда);</w:t>
            </w:r>
          </w:p>
          <w:p>
            <w:pPr>
              <w:spacing w:after="20"/>
              <w:ind w:left="20"/>
              <w:jc w:val="both"/>
            </w:pPr>
            <w:r>
              <w:rPr>
                <w:rFonts w:ascii="Times New Roman"/>
                <w:b w:val="false"/>
                <w:i w:val="false"/>
                <w:color w:val="000000"/>
                <w:sz w:val="20"/>
              </w:rPr>
              <w:t>
4 500 000 (ягодных культур).</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импортных саженцев</w:t>
            </w: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(плодовых семечковых культур);</w:t>
            </w:r>
          </w:p>
          <w:p>
            <w:pPr>
              <w:spacing w:after="20"/>
              <w:ind w:left="20"/>
              <w:jc w:val="both"/>
            </w:pPr>
            <w:r>
              <w:rPr>
                <w:rFonts w:ascii="Times New Roman"/>
                <w:b w:val="false"/>
                <w:i w:val="false"/>
                <w:color w:val="000000"/>
                <w:sz w:val="20"/>
              </w:rPr>
              <w:t>
8 668 000 (плодовых косточковых культур);</w:t>
            </w:r>
          </w:p>
          <w:p>
            <w:pPr>
              <w:spacing w:after="20"/>
              <w:ind w:left="20"/>
              <w:jc w:val="both"/>
            </w:pPr>
            <w:r>
              <w:rPr>
                <w:rFonts w:ascii="Times New Roman"/>
                <w:b w:val="false"/>
                <w:i w:val="false"/>
                <w:color w:val="000000"/>
                <w:sz w:val="20"/>
              </w:rPr>
              <w:t>
1 841 000 (орехоплодных культур);</w:t>
            </w:r>
          </w:p>
          <w:p>
            <w:pPr>
              <w:spacing w:after="20"/>
              <w:ind w:left="20"/>
              <w:jc w:val="both"/>
            </w:pPr>
            <w:r>
              <w:rPr>
                <w:rFonts w:ascii="Times New Roman"/>
                <w:b w:val="false"/>
                <w:i w:val="false"/>
                <w:color w:val="000000"/>
                <w:sz w:val="20"/>
              </w:rPr>
              <w:t>
3 945 000 (виноград);</w:t>
            </w:r>
          </w:p>
          <w:p>
            <w:pPr>
              <w:spacing w:after="20"/>
              <w:ind w:left="20"/>
              <w:jc w:val="both"/>
            </w:pPr>
            <w:r>
              <w:rPr>
                <w:rFonts w:ascii="Times New Roman"/>
                <w:b w:val="false"/>
                <w:i w:val="false"/>
                <w:color w:val="000000"/>
                <w:sz w:val="20"/>
              </w:rPr>
              <w:t>
4 622 000 (ягодных культур);</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защитной сетки (противоградовая, солнцезащитная) из материала, не содержащего токсичных элементов (за исключением орехоплодных и ягодных культур)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шпалерной системы включающую в себя шпалеры (столбы для опоры) и элементов крепления саженца к шпалере</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субсидирование защитной сетки (противоградовая, солнцезащитная) осуществляется по факту установки в течение четырех лет закладки сада, по 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плодово-ягодные культуры и виноград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 и более минимального норматива в 20 гектаров. Наличие соответствующих минимальному нормативу земель под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(услугополучателем) под плодово-ягодных культуры и виноград составляет не менее 5 гектар субсидируется закладка плодово-ягодных культур и винограда менее 5 гектар. Саженцы, просубсидированные в рамках настоящих Правил, не субсидируются в рамках Правил субсидирования повышения урожайности, равно как саженцы, просубсидированные в рамках Правил субсидирования повышения урожайности не субсидируются в рамках Правил.</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15 "Создание и расширение объектов для производства мяса птицы мощностью от 5 тысяч тонн в год"</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зданиями и сооружениями: напольное/клеточное оборудование для содержания птиц, автоматизированная система кормления, поения, микроклимата, водоснабжения, вентиляции и отопления, освещения, убойный цех, ветеринарный блок, инкубатор, кормоцех, холодильное оборудование, система переработки отходов,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мяса птицы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этапной реализации субсидируются проекты на создание и расширение объектов для производства мяса птицы с первоначальным этапом мощности от 2 тысяч тонн в год.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 В случае, если у предприятия имеется комбикормовый завод, и/или мобильный комбикормовый завод, то нет необходимости в строительстве кормоцеха.</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16 "Создание селекционно-гибридного центра с мощностью получения и выращивания от 1200 гибридных свиноматок"</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Селекционно-гибридный центр с оборудованными зданиями для содержания свинопоголовья, ветеринарно-санитарным блоком, убойным цехом, весовая, холодильное оборудование, автоматизированной системой кормления, водоснабжения, вентиляции, отопления и навозоудаления, генетической лабораторией,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свиноматки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17 "Создание и расширение объектов для выращивания свиней мощностью от 1000 свиноматок"</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Свиноводческий комплекс с оборудованными зданиями для содержания свинопоголовья, ветеринарным пунктом, системой автоматизированного кормления, водоснабжения, навозоудаления, вентиляции и отопления, убойным цехом и системой переработки отходов, весовая, холодильное оборудование,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строительстве/расширении при модернизации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p>
            <w:pPr>
              <w:spacing w:after="20"/>
              <w:ind w:left="20"/>
              <w:jc w:val="both"/>
            </w:pPr>
            <w:r>
              <w:rPr>
                <w:rFonts w:ascii="Times New Roman"/>
                <w:b w:val="false"/>
                <w:i w:val="false"/>
                <w:color w:val="000000"/>
                <w:sz w:val="20"/>
              </w:rPr>
              <w:t>
850 000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18 "Создание комбикормового завода"</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 (цех) мощностью от 3 тонн комбикормов/гранулированных кормов в час, включая здание комбикормового завода (цеха), емкости для хранения зерна (силосные корпуса), производственный блок, склады для сырья и готовой продукции с отгрузкой на авто и/или ж/д транспорт, технологическое оборудование для комбикормового завода, складов и силосов, необходимая техника и транспорт.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час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p>
            <w:pPr>
              <w:spacing w:after="20"/>
              <w:ind w:left="20"/>
              <w:jc w:val="both"/>
            </w:pPr>
            <w:r>
              <w:rPr>
                <w:rFonts w:ascii="Times New Roman"/>
                <w:b w:val="false"/>
                <w:i w:val="false"/>
                <w:color w:val="000000"/>
                <w:sz w:val="20"/>
              </w:rPr>
              <w:t>
135 000 000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комбикормовый завод мощностью от 15 тонн в час, включающий всасывающую заслонку, молотковую пневмодробилку, зерноплющилку, роторный компрессор, смеситель весовой, аспирацию, всасывающий штуцер, выгрузной шнек, поворотный шнек, комбинированный шлюз, загрузочную воронку, загрузочный шнек, линию для разгрузки при помощи воздуха, дозировочную емкость для кормового масла.</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передвижения комбикормового завода</w:t>
            </w:r>
          </w:p>
        </w:tc>
        <w:tc>
          <w:tcPr>
            <w:tcW w:w="0" w:type="auto"/>
            <w:gridSpan w:val="1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19 "Приобретение техники и оборудования для переработки птичьего помета, мощностью 50 тонн/сутки"</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помета: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Ворошитель</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помета: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сушки удобрений</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 для всех способов переработки:</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Разбрасыватель</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фасовки и упаковки удобрений</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20 "Создание и расширение племенного репродуктора в птицеводстве яичного и мясного направления"</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прародительского/ родительского стада</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Птичники ремонтного молодняка</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ветеринарных объектов согласно пунктам 17.1.2 и 17.1.3 СНиП РК 3.02-11 "Животноводческие, птицеводческие и звероводческие здания и помещения" предусмотренных проектно-сметной документацией</w:t>
            </w:r>
          </w:p>
        </w:tc>
        <w:tc>
          <w:tcPr>
            <w:tcW w:w="0" w:type="auto"/>
            <w:gridSpan w:val="2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убойного цеха</w:t>
            </w:r>
          </w:p>
          <w:p>
            <w:pPr>
              <w:spacing w:after="20"/>
              <w:ind w:left="20"/>
              <w:jc w:val="both"/>
            </w:pPr>
            <w:r>
              <w:rPr>
                <w:rFonts w:ascii="Times New Roman"/>
                <w:b w:val="false"/>
                <w:i w:val="false"/>
                <w:color w:val="000000"/>
                <w:sz w:val="20"/>
              </w:rPr>
              <w:t>
(является не обязательным в случае наличия действующего объекта у инвестора (услугополучателя) или наличия заключенного договора аутсорсинга по убою птицы)</w:t>
            </w:r>
          </w:p>
        </w:tc>
        <w:tc>
          <w:tcPr>
            <w:tcW w:w="0" w:type="auto"/>
            <w:gridSpan w:val="2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w:t>
            </w:r>
          </w:p>
          <w:p>
            <w:pPr>
              <w:spacing w:after="20"/>
              <w:ind w:left="20"/>
              <w:jc w:val="both"/>
            </w:pPr>
            <w:r>
              <w:rPr>
                <w:rFonts w:ascii="Times New Roman"/>
                <w:b w:val="false"/>
                <w:i w:val="false"/>
                <w:color w:val="000000"/>
                <w:sz w:val="20"/>
              </w:rPr>
              <w:t>
(является не обязательным в случае специализации репродуктора на производстве и реализации инкубационного яйца)</w:t>
            </w:r>
          </w:p>
        </w:tc>
        <w:tc>
          <w:tcPr>
            <w:tcW w:w="0" w:type="auto"/>
            <w:gridSpan w:val="2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утилизации - Крематорий</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инкубатора</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яйце место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Цыплятовоз</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 рефрижератор</w:t>
            </w:r>
          </w:p>
        </w:tc>
        <w:tc>
          <w:tcPr>
            <w:tcW w:w="0" w:type="auto"/>
            <w:gridSpan w:val="2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0" w:type="auto"/>
            <w:gridSpan w:val="2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Минипогрузчик</w:t>
            </w:r>
          </w:p>
        </w:tc>
        <w:tc>
          <w:tcPr>
            <w:tcW w:w="0" w:type="auto"/>
            <w:gridSpan w:val="2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2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w:t>
            </w:r>
          </w:p>
        </w:tc>
        <w:tc>
          <w:tcPr>
            <w:tcW w:w="0" w:type="auto"/>
            <w:gridSpan w:val="2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21 "Строительство и расширение зернохранилищ"</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зернохранилища для масличных культур с оборудованием, обеспечивающим следующие операции с зерном: приемка, подработка, очистка, обработка, сушка, хранение, внутреннее перемещение и отгрузка, от 5000 тонн хранения.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зернохранилища с оборудованием, обеспечивающим следующие операции с зерном: приемка, подработка, очистка, обработка, хранение, внутреннее перемещение и отгрузка, но не более 10 000 тонн.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22 "Строительство, расширение картофеле-овощехранилищ от 1 000 тонн"</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w:t>
            </w:r>
          </w:p>
          <w:p>
            <w:pPr>
              <w:spacing w:after="20"/>
              <w:ind w:left="20"/>
              <w:jc w:val="both"/>
            </w:pPr>
            <w:r>
              <w:rPr>
                <w:rFonts w:ascii="Times New Roman"/>
                <w:b w:val="false"/>
                <w:i w:val="false"/>
                <w:color w:val="000000"/>
                <w:sz w:val="20"/>
              </w:rPr>
              <w:t>
- с холодильным оборудованием – 50 %;</w:t>
            </w:r>
          </w:p>
          <w:p>
            <w:pPr>
              <w:spacing w:after="20"/>
              <w:ind w:left="20"/>
              <w:jc w:val="both"/>
            </w:pPr>
            <w:r>
              <w:rPr>
                <w:rFonts w:ascii="Times New Roman"/>
                <w:b w:val="false"/>
                <w:i w:val="false"/>
                <w:color w:val="000000"/>
                <w:sz w:val="20"/>
              </w:rPr>
              <w:t>
- с вентиляционным оборудованием – 40 %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Картофеле-овощехранилище должно включать: холодильное оборудование (в случае необходимости), вентиляционное оборудование, складскую технику.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 грузоподъемностью от 20 тонн:</w:t>
            </w:r>
          </w:p>
          <w:p>
            <w:pPr>
              <w:spacing w:after="20"/>
              <w:ind w:left="20"/>
              <w:jc w:val="both"/>
            </w:pPr>
            <w:r>
              <w:rPr>
                <w:rFonts w:ascii="Times New Roman"/>
                <w:b w:val="false"/>
                <w:i w:val="false"/>
                <w:color w:val="000000"/>
                <w:sz w:val="20"/>
              </w:rPr>
              <w:t>
седельный тягач*</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при комбинированном климат-контроле (с холодильным и вентиляционными оборудованиями) составляет 40 %.</w:t>
            </w:r>
          </w:p>
          <w:p>
            <w:pPr>
              <w:spacing w:after="20"/>
              <w:ind w:left="20"/>
              <w:jc w:val="both"/>
            </w:pPr>
            <w:r>
              <w:rPr>
                <w:rFonts w:ascii="Times New Roman"/>
                <w:b w:val="false"/>
                <w:i w:val="false"/>
                <w:color w:val="000000"/>
                <w:sz w:val="20"/>
              </w:rPr>
              <w:t>
**субсидируется по норме 3 единицы на 1500 тонн хранения</w:t>
            </w:r>
          </w:p>
          <w:p>
            <w:pPr>
              <w:spacing w:after="20"/>
              <w:ind w:left="20"/>
              <w:jc w:val="both"/>
            </w:pPr>
            <w:r>
              <w:rPr>
                <w:rFonts w:ascii="Times New Roman"/>
                <w:b w:val="false"/>
                <w:i w:val="false"/>
                <w:color w:val="000000"/>
                <w:sz w:val="20"/>
              </w:rPr>
              <w:t>
***Вместимость одного контейнера 200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23 "Строительство и расширение фруктохранилищ от 1000 тонн *"</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без регулируемой газовой среды должно включать: вентиляционное оборудование, холодильное оборудование, складскую технику.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2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с регулируемой газовой средой должно включать: регулируемую газовую среду, холодильное оборудование, складскую технику.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2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до 5 тонн</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5 до 10 тонн</w:t>
            </w:r>
          </w:p>
        </w:tc>
        <w:tc>
          <w:tcPr>
            <w:tcW w:w="0" w:type="auto"/>
            <w:gridSpan w:val="2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10 тонн</w:t>
            </w:r>
          </w:p>
        </w:tc>
        <w:tc>
          <w:tcPr>
            <w:tcW w:w="0" w:type="auto"/>
            <w:gridSpan w:val="2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20 тонн:</w:t>
            </w:r>
          </w:p>
          <w:p>
            <w:pPr>
              <w:spacing w:after="20"/>
              <w:ind w:left="20"/>
              <w:jc w:val="both"/>
            </w:pPr>
            <w:r>
              <w:rPr>
                <w:rFonts w:ascii="Times New Roman"/>
                <w:b w:val="false"/>
                <w:i w:val="false"/>
                <w:color w:val="000000"/>
                <w:sz w:val="20"/>
              </w:rPr>
              <w:t>
седельный тягач</w:t>
            </w:r>
          </w:p>
          <w:p>
            <w:pPr>
              <w:spacing w:after="20"/>
              <w:ind w:left="20"/>
              <w:jc w:val="both"/>
            </w:pPr>
            <w:r>
              <w:rPr>
                <w:rFonts w:ascii="Times New Roman"/>
                <w:b w:val="false"/>
                <w:i w:val="false"/>
                <w:color w:val="000000"/>
                <w:sz w:val="20"/>
              </w:rPr>
              <w:t>
полуприцеп-рефрижератор</w:t>
            </w:r>
          </w:p>
        </w:tc>
        <w:tc>
          <w:tcPr>
            <w:tcW w:w="0" w:type="auto"/>
            <w:gridSpan w:val="2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p>
            <w:pPr>
              <w:spacing w:after="20"/>
              <w:ind w:left="20"/>
              <w:jc w:val="both"/>
            </w:pPr>
            <w:r>
              <w:rPr>
                <w:rFonts w:ascii="Times New Roman"/>
                <w:b w:val="false"/>
                <w:i w:val="false"/>
                <w:color w:val="000000"/>
                <w:sz w:val="20"/>
              </w:rPr>
              <w:t>
29 145 000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формированию гофротары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гофрокартона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миллионов квадратных метров</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Сортировочно-упаковочное оборудование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тонн/час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Технологии хранения фруктохранилищ при необходимости допускается комбинировать: с регулируемой газовой средой, также без регулируемой газовой средой. При расчете, учитывается общая мощность.</w:t>
            </w:r>
          </w:p>
          <w:p>
            <w:pPr>
              <w:spacing w:after="20"/>
              <w:ind w:left="20"/>
              <w:jc w:val="both"/>
            </w:pPr>
            <w:r>
              <w:rPr>
                <w:rFonts w:ascii="Times New Roman"/>
                <w:b w:val="false"/>
                <w:i w:val="false"/>
                <w:color w:val="000000"/>
                <w:sz w:val="20"/>
              </w:rPr>
              <w:t>
** При субсидировании в расчет принимается количество транспортных средств, находящихся на балансе на дату субсидирования и мощности фруктохранилища. Субсидируется не более 8 рефрижераторов на 1000 тонн хранения.</w:t>
            </w:r>
          </w:p>
          <w:p>
            <w:pPr>
              <w:spacing w:after="20"/>
              <w:ind w:left="20"/>
              <w:jc w:val="both"/>
            </w:pPr>
            <w:r>
              <w:rPr>
                <w:rFonts w:ascii="Times New Roman"/>
                <w:b w:val="false"/>
                <w:i w:val="false"/>
                <w:color w:val="000000"/>
                <w:sz w:val="20"/>
              </w:rPr>
              <w:t>
*** вместимость одного контейнера 300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 линию производства гофрокартона (гофроагрегат), линию производства гофротары (флексопечать, слоттер, ротационная высечка), штанцевальные формы для ротационной высечки, парогенератор, компрессоры, складскую технику (включая погрузчик с рулонным захватом), оборудование по обвязке готовой продукции, оборудование по прессовке отходов производства. Субсидируются фруктохранилища от 10 000 тонн хранения</w:t>
            </w:r>
          </w:p>
          <w:p>
            <w:pPr>
              <w:spacing w:after="20"/>
              <w:ind w:left="20"/>
              <w:jc w:val="both"/>
            </w:pPr>
            <w:r>
              <w:rPr>
                <w:rFonts w:ascii="Times New Roman"/>
                <w:b w:val="false"/>
                <w:i w:val="false"/>
                <w:color w:val="000000"/>
                <w:sz w:val="20"/>
              </w:rPr>
              <w:t>
***** сортировочно-упаковочное оборудование субсидируется из расчета 1 тонн/час на 800 тонн хранения. По оборудованию, контейнерам и транспорту возможно приобретение и субсидирование вне расширения текущего объема фруктохранилища, но не более максимальных нормативов на 1 тонну хранения.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24 "Создание и расширение предприятия по переработке плодов/овощей/бахчевых культур"</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свежих плодов, овощей и бахчевых культур с необходимым оборудованием для производства одного и более видов соковой и (или) плодоовощной продукции. Условия для расчета субсидий: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25 "Строительство предприятия по переработке картофеля"</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картофеля включает производственный комплекс с необходимым оборудованием для производства одного и (или) более видов продуктов переработки картофеля (картофельные чипсы, картофель фри, полуфабрикаты и другое). Стоимость инвестиционного проекта определяется согласно проектно-сметной документации: строительство от 140 000 тонн в год по сырью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предприятие</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26 "Создание и расширение предприятия по производству масложировой продукции"</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переработки масличных культур и (или) производства масложировой продукции.</w:t>
            </w:r>
          </w:p>
          <w:p>
            <w:pPr>
              <w:spacing w:after="20"/>
              <w:ind w:left="20"/>
              <w:jc w:val="both"/>
            </w:pPr>
            <w:r>
              <w:rPr>
                <w:rFonts w:ascii="Times New Roman"/>
                <w:b w:val="false"/>
                <w:i w:val="false"/>
                <w:color w:val="000000"/>
                <w:sz w:val="20"/>
              </w:rPr>
              <w:t>
Условия для расчета субсидий: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масличных культур от 500 тонн в сутки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сельскохозяйственным кооперативом предприятия мощностью переработки масличных культур от 100 тонн в сутки</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масличных культур от 100 тонн в сутки</w:t>
            </w:r>
          </w:p>
        </w:tc>
        <w:tc>
          <w:tcPr>
            <w:tcW w:w="0" w:type="auto"/>
            <w:gridSpan w:val="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100 тонн в сутки по сырью для производства пищевых масложировых продуктов, за исключением масла растительного</w:t>
            </w:r>
          </w:p>
        </w:tc>
        <w:tc>
          <w:tcPr>
            <w:tcW w:w="0" w:type="auto"/>
            <w:gridSpan w:val="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с необходимым оборудованием для переработки растительных и животных жиров для производства непищевой масложировой продукции (гранул) мощностью от 3 тонн в сутки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p>
            <w:pPr>
              <w:spacing w:after="20"/>
              <w:ind w:left="20"/>
              <w:jc w:val="both"/>
            </w:pPr>
            <w:r>
              <w:rPr>
                <w:rFonts w:ascii="Times New Roman"/>
                <w:b w:val="false"/>
                <w:i w:val="false"/>
                <w:color w:val="000000"/>
                <w:sz w:val="20"/>
              </w:rPr>
              <w:t>
* В рамках настоящего паспорта проекта субсидируется не более одной заявки от одного сельскохозяйственного кооператива</w:t>
            </w:r>
          </w:p>
          <w:p>
            <w:pPr>
              <w:spacing w:after="20"/>
              <w:ind w:left="20"/>
              <w:jc w:val="both"/>
            </w:pPr>
            <w:r>
              <w:rPr>
                <w:rFonts w:ascii="Times New Roman"/>
                <w:b w:val="false"/>
                <w:i w:val="false"/>
                <w:color w:val="000000"/>
                <w:sz w:val="20"/>
              </w:rPr>
              <w:t>
С 1 января 2026 года исключается возмещение части инвестиционных вложений по инвестиционным проектам на создание новых производственных мощностей.</w:t>
            </w:r>
          </w:p>
          <w:p>
            <w:pPr>
              <w:spacing w:after="20"/>
              <w:ind w:left="20"/>
              <w:jc w:val="both"/>
            </w:pPr>
            <w:r>
              <w:rPr>
                <w:rFonts w:ascii="Times New Roman"/>
                <w:b w:val="false"/>
                <w:i w:val="false"/>
                <w:color w:val="000000"/>
                <w:sz w:val="20"/>
              </w:rPr>
              <w:t>
При этом, по инвестиционным проектам, введенным в эксплуатацию и получившим инвестиционные субсидии по первому траншу до января 2026 года, допускается получение инвестиционных субсидий по второму траншу после 1 января 2026 года согласно подпункту 2 пункта 16 настоящих Правил.</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 "Создание и расширение предприятия по производству продуктов переработки зерновых культур"</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 с необходимым оборудованием для производства одного и более видов крупяной продукции и (или) сухих завтраков. Условия для расчета субсидий:</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2 тонн в час по сырью для производства крупяной продукции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2 тонн в час по сырью для производства крупяной продукции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от 0,2 тонны в час по производству сухих завтраков</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0,2 тонны в час по производству сухих завтраков</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зерна/муки для производства макаронных изделий с необходимым оборудованием для производства одного и более видов продукции. Условия для расчета субсидий:</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по производству макарон без глютена мощностью от 0,2 тонны в час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27.1 "Создание и расширение предприятия по глубокой переработке растениеводческой продукции"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высокой технологичной сложности* – 50 % (при этом доля возмещения инвестиционных вложений для производства продукции, не отнесенной к продуктам высокой технологичной сложности в полном технологическом цикле – 25 %);</w:t>
            </w:r>
          </w:p>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не отнесенной к продуктам высокой технологичной сложности – 25 %.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производства одного и (или) более видов продуктов глубокой переработки.</w:t>
            </w:r>
          </w:p>
          <w:p>
            <w:pPr>
              <w:spacing w:after="20"/>
              <w:ind w:left="20"/>
              <w:jc w:val="both"/>
            </w:pPr>
            <w:r>
              <w:rPr>
                <w:rFonts w:ascii="Times New Roman"/>
                <w:b w:val="false"/>
                <w:i w:val="false"/>
                <w:color w:val="000000"/>
                <w:sz w:val="20"/>
              </w:rPr>
              <w:t>
Условия для расчета субсидий:</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зерновых культур (за исключением переработки зерна для производства товарной муки), мощностью от 170 тонн сырья в сутки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масличных культур, мощностью от 7 тонн/сутки по основной готовой продукции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p>
            <w:pPr>
              <w:spacing w:after="20"/>
              <w:ind w:left="20"/>
              <w:jc w:val="both"/>
            </w:pPr>
            <w:r>
              <w:rPr>
                <w:rFonts w:ascii="Times New Roman"/>
                <w:b w:val="false"/>
                <w:i w:val="false"/>
                <w:color w:val="000000"/>
                <w:sz w:val="20"/>
              </w:rPr>
              <w:t>
*Субсидирование осуществляется при производстве следующей продукции высокой технологической сложности:</w:t>
            </w:r>
          </w:p>
          <w:p>
            <w:pPr>
              <w:spacing w:after="20"/>
              <w:ind w:left="20"/>
              <w:jc w:val="both"/>
            </w:pPr>
            <w:r>
              <w:rPr>
                <w:rFonts w:ascii="Times New Roman"/>
                <w:b w:val="false"/>
                <w:i w:val="false"/>
                <w:color w:val="000000"/>
                <w:sz w:val="20"/>
              </w:rPr>
              <w:t>
Крахмалы модифицированные;</w:t>
            </w:r>
          </w:p>
          <w:p>
            <w:pPr>
              <w:spacing w:after="20"/>
              <w:ind w:left="20"/>
              <w:jc w:val="both"/>
            </w:pPr>
            <w:r>
              <w:rPr>
                <w:rFonts w:ascii="Times New Roman"/>
                <w:b w:val="false"/>
                <w:i w:val="false"/>
                <w:color w:val="000000"/>
                <w:sz w:val="20"/>
              </w:rPr>
              <w:t>
Глюкоза и сироп из глюкозы;</w:t>
            </w:r>
          </w:p>
          <w:p>
            <w:pPr>
              <w:spacing w:after="20"/>
              <w:ind w:left="20"/>
              <w:jc w:val="both"/>
            </w:pPr>
            <w:r>
              <w:rPr>
                <w:rFonts w:ascii="Times New Roman"/>
                <w:b w:val="false"/>
                <w:i w:val="false"/>
                <w:color w:val="000000"/>
                <w:sz w:val="20"/>
              </w:rPr>
              <w:t>
Фруктоза и сироп из фруктозы;</w:t>
            </w:r>
          </w:p>
          <w:p>
            <w:pPr>
              <w:spacing w:after="20"/>
              <w:ind w:left="20"/>
              <w:jc w:val="both"/>
            </w:pPr>
            <w:r>
              <w:rPr>
                <w:rFonts w:ascii="Times New Roman"/>
                <w:b w:val="false"/>
                <w:i w:val="false"/>
                <w:color w:val="000000"/>
                <w:sz w:val="20"/>
              </w:rPr>
              <w:t>
Мальтоза и мальтозный сироп;</w:t>
            </w:r>
          </w:p>
          <w:p>
            <w:pPr>
              <w:spacing w:after="20"/>
              <w:ind w:left="20"/>
              <w:jc w:val="both"/>
            </w:pPr>
            <w:r>
              <w:rPr>
                <w:rFonts w:ascii="Times New Roman"/>
                <w:b w:val="false"/>
                <w:i w:val="false"/>
                <w:color w:val="000000"/>
                <w:sz w:val="20"/>
              </w:rPr>
              <w:t>
Мальтодекстрин;</w:t>
            </w:r>
          </w:p>
          <w:p>
            <w:pPr>
              <w:spacing w:after="20"/>
              <w:ind w:left="20"/>
              <w:jc w:val="both"/>
            </w:pPr>
            <w:r>
              <w:rPr>
                <w:rFonts w:ascii="Times New Roman"/>
                <w:b w:val="false"/>
                <w:i w:val="false"/>
                <w:color w:val="000000"/>
                <w:sz w:val="20"/>
              </w:rPr>
              <w:t>
Концентраты белковые (протеиновые);</w:t>
            </w:r>
          </w:p>
          <w:p>
            <w:pPr>
              <w:spacing w:after="20"/>
              <w:ind w:left="20"/>
              <w:jc w:val="both"/>
            </w:pPr>
            <w:r>
              <w:rPr>
                <w:rFonts w:ascii="Times New Roman"/>
                <w:b w:val="false"/>
                <w:i w:val="false"/>
                <w:color w:val="000000"/>
                <w:sz w:val="20"/>
              </w:rPr>
              <w:t>
Соевый изолят;</w:t>
            </w:r>
          </w:p>
          <w:p>
            <w:pPr>
              <w:spacing w:after="20"/>
              <w:ind w:left="20"/>
              <w:jc w:val="both"/>
            </w:pPr>
            <w:r>
              <w:rPr>
                <w:rFonts w:ascii="Times New Roman"/>
                <w:b w:val="false"/>
                <w:i w:val="false"/>
                <w:color w:val="000000"/>
                <w:sz w:val="20"/>
              </w:rPr>
              <w:t>
Кислота лимонная;</w:t>
            </w:r>
          </w:p>
          <w:p>
            <w:pPr>
              <w:spacing w:after="20"/>
              <w:ind w:left="20"/>
              <w:jc w:val="both"/>
            </w:pPr>
            <w:r>
              <w:rPr>
                <w:rFonts w:ascii="Times New Roman"/>
                <w:b w:val="false"/>
                <w:i w:val="false"/>
                <w:color w:val="000000"/>
                <w:sz w:val="20"/>
              </w:rPr>
              <w:t>
Лецитин и фосфолипиды растительные;</w:t>
            </w:r>
          </w:p>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кроме лизина и глутаминовой кислоты;</w:t>
            </w:r>
          </w:p>
          <w:p>
            <w:pPr>
              <w:spacing w:after="20"/>
              <w:ind w:left="20"/>
              <w:jc w:val="both"/>
            </w:pPr>
            <w:r>
              <w:rPr>
                <w:rFonts w:ascii="Times New Roman"/>
                <w:b w:val="false"/>
                <w:i w:val="false"/>
                <w:color w:val="000000"/>
                <w:sz w:val="20"/>
              </w:rPr>
              <w:t>
Лизин, кислота глутаминовая и их соли.</w:t>
            </w:r>
          </w:p>
          <w:p>
            <w:pPr>
              <w:spacing w:after="20"/>
              <w:ind w:left="20"/>
              <w:jc w:val="both"/>
            </w:pPr>
            <w:r>
              <w:rPr>
                <w:rFonts w:ascii="Times New Roman"/>
                <w:b w:val="false"/>
                <w:i w:val="false"/>
                <w:color w:val="000000"/>
                <w:sz w:val="20"/>
              </w:rPr>
              <w:t xml:space="preserve">
Перечень продукции высокой технологичной сложности составлен в соответствии с Методикой оценки уровня передела товара для включения в перечень приоритетных товаров,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индустрии и инфраструктурного развития Республики Казахстан от 20 мая 2022 года № 273 (зарегистрирован в Реестре государственной регистрации нормативных правовых актов № 28242).</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28 "Создание и расширение предприятия по производству сахара"</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Предприятие по переработке сахарной свеклы с необходимым оборудованием для приемки и переработки сырья. Условия для расчета субсидий: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5000 тонн в сутки по сырью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1600 тонн в сутки по сырью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Свеклоприемный пункт: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автомобильные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сырьевой лаборатории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буртоукладочная машина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активного вентилирования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Линия по переработке жома (прессование)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жома (грануляция)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и техника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техники 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29 "Расширение предприятия по производству хлебобулочных и/или кондитерских изделий мощностью от 2 000 тонн продукции в год"</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хлебобулочных и/или кондитерских изделий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готовой продукции/год</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30 "Расширение яичных птицефабрик с увеличением производственной мощности от 50 миллионов яиц в год"</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оборудования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техники, оборудования тенге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кур-несушек</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 одного птичника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молодняка</w:t>
            </w: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яиц</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проектно-сметная документация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ремонтного молодняка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птице место</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промышленной несушки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птице место</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90 000 яиц/час</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45 000 яиц/час</w:t>
            </w: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187 886 250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убою птицы до 1 500 гол /час</w:t>
            </w: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переработке отходов убойного</w:t>
            </w: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Яйцевоз-рефрежератор</w:t>
            </w: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Вилочный погрузчик</w:t>
            </w: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Грузовик</w:t>
            </w:r>
          </w:p>
        </w:tc>
        <w:tc>
          <w:tcPr>
            <w:tcW w:w="0" w:type="auto"/>
            <w:gridSpan w:val="16"/>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31 "Приобретение оборудования для агрохимических лабораторий по анализу почв"</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по агрохимическому анализу почв, оснащенная необходимым оборудованием: автоматическим анализатором сегментированного потока c автосамплером, оборудованием для массовой пробоподготовки, спектрофотометром, оборудованием для массового анализа органического углерода (гумуса), пламенным фотометром с компрессором и манометром под газ, мельницей для размола почвенных проб, лабораторным аквадистиллятором, аналитическими весами, термостатом, сушильным шкафом, вытяжным оборудованием</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Атомно-эмиссионный спектрометр с индуктивно-связанной плазмой с автосамплером</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пробоотборник почвы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лабораторная посудомоечная машина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32 "Строительство, расширение завода по переработке куриного яйца"</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яйца с технологическим оборудованием, зданиями и сооружениями, инфраструктурой и оборудованием систем жизнедеятельности, с наличием необходимой техникой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в сутки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2025 года № 198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167" w:id="69"/>
    <w:p>
      <w:pPr>
        <w:spacing w:after="0"/>
        <w:ind w:left="0"/>
        <w:jc w:val="left"/>
      </w:pPr>
      <w:r>
        <w:rPr>
          <w:rFonts w:ascii="Times New Roman"/>
          <w:b/>
          <w:i w:val="false"/>
          <w:color w:val="000000"/>
        </w:rPr>
        <w:t xml:space="preserve"> Соглашение о целевом использовании и не отчуждении объектов инвестиционного субсидирования № ___</w:t>
      </w:r>
    </w:p>
    <w:bookmarkEnd w:id="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20__ года</w:t>
            </w:r>
          </w:p>
        </w:tc>
      </w:tr>
    </w:tbl>
    <w:p>
      <w:pPr>
        <w:spacing w:after="0"/>
        <w:ind w:left="0"/>
        <w:jc w:val="both"/>
      </w:pPr>
      <w:bookmarkStart w:name="z168" w:id="70"/>
      <w:r>
        <w:rPr>
          <w:rFonts w:ascii="Times New Roman"/>
          <w:b w:val="false"/>
          <w:i w:val="false"/>
          <w:color w:val="000000"/>
          <w:sz w:val="28"/>
        </w:rPr>
        <w:t>
      Управление ________________________________________________________</w:t>
      </w:r>
    </w:p>
    <w:bookmarkEnd w:id="70"/>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области (города республиканского значения, столицы)</w:t>
      </w:r>
    </w:p>
    <w:p>
      <w:pPr>
        <w:spacing w:after="0"/>
        <w:ind w:left="0"/>
        <w:jc w:val="both"/>
      </w:pPr>
      <w:r>
        <w:rPr>
          <w:rFonts w:ascii="Times New Roman"/>
          <w:b w:val="false"/>
          <w:i w:val="false"/>
          <w:color w:val="000000"/>
          <w:sz w:val="28"/>
        </w:rPr>
        <w:t>Республики Казахстан, в лице руководителя (или лица его заменяющего)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_____________от___ № ____,</w:t>
      </w:r>
    </w:p>
    <w:p>
      <w:pPr>
        <w:spacing w:after="0"/>
        <w:ind w:left="0"/>
        <w:jc w:val="both"/>
      </w:pPr>
      <w:r>
        <w:rPr>
          <w:rFonts w:ascii="Times New Roman"/>
          <w:b w:val="false"/>
          <w:i w:val="false"/>
          <w:color w:val="000000"/>
          <w:sz w:val="28"/>
        </w:rPr>
        <w:t>именуемое в дальнейшем "Рабочий орган", с одной стороны,</w:t>
      </w:r>
    </w:p>
    <w:p>
      <w:pPr>
        <w:spacing w:after="0"/>
        <w:ind w:left="0"/>
        <w:jc w:val="both"/>
      </w:pPr>
      <w:r>
        <w:rPr>
          <w:rFonts w:ascii="Times New Roman"/>
          <w:b w:val="false"/>
          <w:i w:val="false"/>
          <w:color w:val="000000"/>
          <w:sz w:val="28"/>
        </w:rPr>
        <w:t>и ______________________________ в лице 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именуемое в дальнейшем "Инвестор"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либо как указано выше, заключили настоящее</w:t>
      </w:r>
    </w:p>
    <w:p>
      <w:pPr>
        <w:spacing w:after="0"/>
        <w:ind w:left="0"/>
        <w:jc w:val="both"/>
      </w:pPr>
      <w:r>
        <w:rPr>
          <w:rFonts w:ascii="Times New Roman"/>
          <w:b w:val="false"/>
          <w:i w:val="false"/>
          <w:color w:val="000000"/>
          <w:sz w:val="28"/>
        </w:rPr>
        <w:t>Соглашение о целевом использовании и не отчуждении объектов инвестиционного</w:t>
      </w:r>
    </w:p>
    <w:p>
      <w:pPr>
        <w:spacing w:after="0"/>
        <w:ind w:left="0"/>
        <w:jc w:val="both"/>
      </w:pPr>
      <w:r>
        <w:rPr>
          <w:rFonts w:ascii="Times New Roman"/>
          <w:b w:val="false"/>
          <w:i w:val="false"/>
          <w:color w:val="000000"/>
          <w:sz w:val="28"/>
        </w:rPr>
        <w:t>субсидирования в течение 3 (трех) лет с момента субсидирования</w:t>
      </w:r>
    </w:p>
    <w:p>
      <w:pPr>
        <w:spacing w:after="0"/>
        <w:ind w:left="0"/>
        <w:jc w:val="both"/>
      </w:pPr>
      <w:r>
        <w:rPr>
          <w:rFonts w:ascii="Times New Roman"/>
          <w:b w:val="false"/>
          <w:i w:val="false"/>
          <w:color w:val="000000"/>
          <w:sz w:val="28"/>
        </w:rPr>
        <w:t>(далее – Соглашение), о нижеследующем:</w:t>
      </w:r>
    </w:p>
    <w:bookmarkStart w:name="z169" w:id="71"/>
    <w:p>
      <w:pPr>
        <w:spacing w:after="0"/>
        <w:ind w:left="0"/>
        <w:jc w:val="left"/>
      </w:pPr>
      <w:r>
        <w:rPr>
          <w:rFonts w:ascii="Times New Roman"/>
          <w:b/>
          <w:i w:val="false"/>
          <w:color w:val="000000"/>
        </w:rPr>
        <w:t xml:space="preserve"> Глава 1. Предмет и цель Соглашения</w:t>
      </w:r>
    </w:p>
    <w:bookmarkEnd w:id="71"/>
    <w:bookmarkStart w:name="z170" w:id="72"/>
    <w:p>
      <w:pPr>
        <w:spacing w:after="0"/>
        <w:ind w:left="0"/>
        <w:jc w:val="both"/>
      </w:pPr>
      <w:r>
        <w:rPr>
          <w:rFonts w:ascii="Times New Roman"/>
          <w:b w:val="false"/>
          <w:i w:val="false"/>
          <w:color w:val="000000"/>
          <w:sz w:val="28"/>
        </w:rPr>
        <w:t>
      1.1 Настоящим Инвестор принимает на себя обязательства использовать строго по целевому назначению и не отчуждать, не осуществлять замену, не передавать в аренду объекты инвестиционного субсидирования, а также нести ответственность за нецелевое использование в течение 3 (трех) лет с момента субсидирования.</w:t>
      </w:r>
    </w:p>
    <w:bookmarkEnd w:id="72"/>
    <w:bookmarkStart w:name="z171" w:id="73"/>
    <w:p>
      <w:pPr>
        <w:spacing w:after="0"/>
        <w:ind w:left="0"/>
        <w:jc w:val="both"/>
      </w:pPr>
      <w:r>
        <w:rPr>
          <w:rFonts w:ascii="Times New Roman"/>
          <w:b w:val="false"/>
          <w:i w:val="false"/>
          <w:color w:val="000000"/>
          <w:sz w:val="28"/>
        </w:rPr>
        <w:t xml:space="preserve">
      1.2 В случае какого-либо противоречий в рамках настоящего Соглашения большую силу имеет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w:t>
      </w:r>
    </w:p>
    <w:bookmarkEnd w:id="73"/>
    <w:bookmarkStart w:name="z172" w:id="74"/>
    <w:p>
      <w:pPr>
        <w:spacing w:after="0"/>
        <w:ind w:left="0"/>
        <w:jc w:val="left"/>
      </w:pPr>
      <w:r>
        <w:rPr>
          <w:rFonts w:ascii="Times New Roman"/>
          <w:b/>
          <w:i w:val="false"/>
          <w:color w:val="000000"/>
        </w:rPr>
        <w:t xml:space="preserve"> Глава 2. Права и обязанности Сторон</w:t>
      </w:r>
    </w:p>
    <w:bookmarkEnd w:id="74"/>
    <w:bookmarkStart w:name="z173" w:id="75"/>
    <w:p>
      <w:pPr>
        <w:spacing w:after="0"/>
        <w:ind w:left="0"/>
        <w:jc w:val="both"/>
      </w:pPr>
      <w:r>
        <w:rPr>
          <w:rFonts w:ascii="Times New Roman"/>
          <w:b w:val="false"/>
          <w:i w:val="false"/>
          <w:color w:val="000000"/>
          <w:sz w:val="28"/>
        </w:rPr>
        <w:t>
      2.1 Инвестор обязан:</w:t>
      </w:r>
    </w:p>
    <w:bookmarkEnd w:id="75"/>
    <w:bookmarkStart w:name="z174" w:id="76"/>
    <w:p>
      <w:pPr>
        <w:spacing w:after="0"/>
        <w:ind w:left="0"/>
        <w:jc w:val="both"/>
      </w:pPr>
      <w:r>
        <w:rPr>
          <w:rFonts w:ascii="Times New Roman"/>
          <w:b w:val="false"/>
          <w:i w:val="false"/>
          <w:color w:val="000000"/>
          <w:sz w:val="28"/>
        </w:rPr>
        <w:t>
      своевременно и в полном объеме исполнять свои обязательства по Соглашению;</w:t>
      </w:r>
    </w:p>
    <w:bookmarkEnd w:id="76"/>
    <w:bookmarkStart w:name="z175" w:id="77"/>
    <w:p>
      <w:pPr>
        <w:spacing w:after="0"/>
        <w:ind w:left="0"/>
        <w:jc w:val="both"/>
      </w:pPr>
      <w:r>
        <w:rPr>
          <w:rFonts w:ascii="Times New Roman"/>
          <w:b w:val="false"/>
          <w:i w:val="false"/>
          <w:color w:val="000000"/>
          <w:sz w:val="28"/>
        </w:rPr>
        <w:t>
      незамедлительно предоставлять по запросу Рабочего органа документы и информацию, связанные с исполнением настоящего Соглашения;</w:t>
      </w:r>
    </w:p>
    <w:bookmarkEnd w:id="77"/>
    <w:bookmarkStart w:name="z176" w:id="78"/>
    <w:p>
      <w:pPr>
        <w:spacing w:after="0"/>
        <w:ind w:left="0"/>
        <w:jc w:val="both"/>
      </w:pPr>
      <w:r>
        <w:rPr>
          <w:rFonts w:ascii="Times New Roman"/>
          <w:b w:val="false"/>
          <w:i w:val="false"/>
          <w:color w:val="000000"/>
          <w:sz w:val="28"/>
        </w:rPr>
        <w:t>
      предоставлять Рабочему органу доступ для осмотра объекта инвестора;</w:t>
      </w:r>
    </w:p>
    <w:bookmarkEnd w:id="78"/>
    <w:bookmarkStart w:name="z177" w:id="79"/>
    <w:p>
      <w:pPr>
        <w:spacing w:after="0"/>
        <w:ind w:left="0"/>
        <w:jc w:val="both"/>
      </w:pPr>
      <w:r>
        <w:rPr>
          <w:rFonts w:ascii="Times New Roman"/>
          <w:b w:val="false"/>
          <w:i w:val="false"/>
          <w:color w:val="000000"/>
          <w:sz w:val="28"/>
        </w:rPr>
        <w:t>
      предоставлять информацию согласно пункту 39 Правил;</w:t>
      </w:r>
    </w:p>
    <w:bookmarkEnd w:id="79"/>
    <w:bookmarkStart w:name="z178" w:id="80"/>
    <w:p>
      <w:pPr>
        <w:spacing w:after="0"/>
        <w:ind w:left="0"/>
        <w:jc w:val="both"/>
      </w:pPr>
      <w:r>
        <w:rPr>
          <w:rFonts w:ascii="Times New Roman"/>
          <w:b w:val="false"/>
          <w:i w:val="false"/>
          <w:color w:val="000000"/>
          <w:sz w:val="28"/>
        </w:rPr>
        <w:t>
      не передавать и не раскрывать информацию об условиях и реализации настоящего Соглашения третьим лицам без предварительного письменного согласия Сторон;</w:t>
      </w:r>
    </w:p>
    <w:bookmarkEnd w:id="80"/>
    <w:bookmarkStart w:name="z179" w:id="81"/>
    <w:p>
      <w:pPr>
        <w:spacing w:after="0"/>
        <w:ind w:left="0"/>
        <w:jc w:val="both"/>
      </w:pPr>
      <w:r>
        <w:rPr>
          <w:rFonts w:ascii="Times New Roman"/>
          <w:b w:val="false"/>
          <w:i w:val="false"/>
          <w:color w:val="000000"/>
          <w:sz w:val="28"/>
        </w:rPr>
        <w:t>
      не производить отчуждение, осуществление замены, передачу в аренду объектов инвестиционного субсидирования в течение срока указанного в подпункте 1.1. Соглашения;</w:t>
      </w:r>
    </w:p>
    <w:bookmarkEnd w:id="81"/>
    <w:bookmarkStart w:name="z180" w:id="82"/>
    <w:p>
      <w:pPr>
        <w:spacing w:after="0"/>
        <w:ind w:left="0"/>
        <w:jc w:val="both"/>
      </w:pPr>
      <w:r>
        <w:rPr>
          <w:rFonts w:ascii="Times New Roman"/>
          <w:b w:val="false"/>
          <w:i w:val="false"/>
          <w:color w:val="000000"/>
          <w:sz w:val="28"/>
        </w:rPr>
        <w:t>
      2.2 Рабочий орган вправе:</w:t>
      </w:r>
    </w:p>
    <w:bookmarkEnd w:id="82"/>
    <w:bookmarkStart w:name="z181" w:id="83"/>
    <w:p>
      <w:pPr>
        <w:spacing w:after="0"/>
        <w:ind w:left="0"/>
        <w:jc w:val="both"/>
      </w:pPr>
      <w:r>
        <w:rPr>
          <w:rFonts w:ascii="Times New Roman"/>
          <w:b w:val="false"/>
          <w:i w:val="false"/>
          <w:color w:val="000000"/>
          <w:sz w:val="28"/>
        </w:rPr>
        <w:t>
      запрашивать у Инвестора все необходимые документы и информацию о ходе реализации инвестиционного проекта и данного Соглашения и Правил субсидирования.</w:t>
      </w:r>
    </w:p>
    <w:bookmarkEnd w:id="83"/>
    <w:bookmarkStart w:name="z182" w:id="84"/>
    <w:p>
      <w:pPr>
        <w:spacing w:after="0"/>
        <w:ind w:left="0"/>
        <w:jc w:val="left"/>
      </w:pPr>
      <w:r>
        <w:rPr>
          <w:rFonts w:ascii="Times New Roman"/>
          <w:b/>
          <w:i w:val="false"/>
          <w:color w:val="000000"/>
        </w:rPr>
        <w:t xml:space="preserve"> Глава 3. Срок действия Соглашения</w:t>
      </w:r>
    </w:p>
    <w:bookmarkEnd w:id="84"/>
    <w:bookmarkStart w:name="z183" w:id="85"/>
    <w:p>
      <w:pPr>
        <w:spacing w:after="0"/>
        <w:ind w:left="0"/>
        <w:jc w:val="both"/>
      </w:pPr>
      <w:r>
        <w:rPr>
          <w:rFonts w:ascii="Times New Roman"/>
          <w:b w:val="false"/>
          <w:i w:val="false"/>
          <w:color w:val="000000"/>
          <w:sz w:val="28"/>
        </w:rPr>
        <w:t>
      3.1 Настоящее Соглашение вступает в силу с даты подписания его Сторонами и действует в течении 3 (трех) лет, а в части неисполненных обязательств – до их полного исполнения.</w:t>
      </w:r>
    </w:p>
    <w:bookmarkEnd w:id="85"/>
    <w:bookmarkStart w:name="z184" w:id="86"/>
    <w:p>
      <w:pPr>
        <w:spacing w:after="0"/>
        <w:ind w:left="0"/>
        <w:jc w:val="left"/>
      </w:pPr>
      <w:r>
        <w:rPr>
          <w:rFonts w:ascii="Times New Roman"/>
          <w:b/>
          <w:i w:val="false"/>
          <w:color w:val="000000"/>
        </w:rPr>
        <w:t xml:space="preserve"> Глава 4. Обстоятельства непреодолимой силы</w:t>
      </w:r>
    </w:p>
    <w:bookmarkEnd w:id="86"/>
    <w:bookmarkStart w:name="z185" w:id="87"/>
    <w:p>
      <w:pPr>
        <w:spacing w:after="0"/>
        <w:ind w:left="0"/>
        <w:jc w:val="both"/>
      </w:pPr>
      <w:r>
        <w:rPr>
          <w:rFonts w:ascii="Times New Roman"/>
          <w:b w:val="false"/>
          <w:i w:val="false"/>
          <w:color w:val="000000"/>
          <w:sz w:val="28"/>
        </w:rPr>
        <w:t>
      4.1 Стороны освобождаются от ответственности за неисполнение, либо ненадлежащее исполнение своих обязанностей по настоящему Соглашению, если невозможность исполнения явилась следствием обстоятельств непреодолимой силы.</w:t>
      </w:r>
    </w:p>
    <w:bookmarkEnd w:id="87"/>
    <w:bookmarkStart w:name="z186" w:id="88"/>
    <w:p>
      <w:pPr>
        <w:spacing w:after="0"/>
        <w:ind w:left="0"/>
        <w:jc w:val="both"/>
      </w:pPr>
      <w:r>
        <w:rPr>
          <w:rFonts w:ascii="Times New Roman"/>
          <w:b w:val="false"/>
          <w:i w:val="false"/>
          <w:color w:val="000000"/>
          <w:sz w:val="28"/>
        </w:rPr>
        <w:t>
      4.2 При наступлении обстоятельств непреодолимой силы, Сторона, для которой создалась невозможность исполнения ее обязательств по настоящему Соглашению,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p>
    <w:bookmarkEnd w:id="88"/>
    <w:bookmarkStart w:name="z187" w:id="89"/>
    <w:p>
      <w:pPr>
        <w:spacing w:after="0"/>
        <w:ind w:left="0"/>
        <w:jc w:val="both"/>
      </w:pPr>
      <w:r>
        <w:rPr>
          <w:rFonts w:ascii="Times New Roman"/>
          <w:b w:val="false"/>
          <w:i w:val="false"/>
          <w:color w:val="000000"/>
          <w:sz w:val="28"/>
        </w:rPr>
        <w:t>
      4.3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89"/>
    <w:bookmarkStart w:name="z188" w:id="90"/>
    <w:p>
      <w:pPr>
        <w:spacing w:after="0"/>
        <w:ind w:left="0"/>
        <w:jc w:val="both"/>
      </w:pPr>
      <w:r>
        <w:rPr>
          <w:rFonts w:ascii="Times New Roman"/>
          <w:b w:val="false"/>
          <w:i w:val="false"/>
          <w:color w:val="000000"/>
          <w:sz w:val="28"/>
        </w:rPr>
        <w:t>
      4.4 Наступление обстоятельств непреодолимой силы влечет увеличение срока исполнения настоящего Соглашения на период их действия.</w:t>
      </w:r>
    </w:p>
    <w:bookmarkEnd w:id="90"/>
    <w:bookmarkStart w:name="z189" w:id="91"/>
    <w:p>
      <w:pPr>
        <w:spacing w:after="0"/>
        <w:ind w:left="0"/>
        <w:jc w:val="both"/>
      </w:pPr>
      <w:r>
        <w:rPr>
          <w:rFonts w:ascii="Times New Roman"/>
          <w:b w:val="false"/>
          <w:i w:val="false"/>
          <w:color w:val="000000"/>
          <w:sz w:val="28"/>
        </w:rPr>
        <w:t>
      4.5 Если такие обстоятельства продолжаются более трех месяцев подряд, то любая из Сторон вправе отказаться от дальнейшего исполнения обязательств по настоящему Соглашению.</w:t>
      </w:r>
    </w:p>
    <w:bookmarkEnd w:id="91"/>
    <w:bookmarkStart w:name="z190" w:id="92"/>
    <w:p>
      <w:pPr>
        <w:spacing w:after="0"/>
        <w:ind w:left="0"/>
        <w:jc w:val="left"/>
      </w:pPr>
      <w:r>
        <w:rPr>
          <w:rFonts w:ascii="Times New Roman"/>
          <w:b/>
          <w:i w:val="false"/>
          <w:color w:val="000000"/>
        </w:rPr>
        <w:t xml:space="preserve"> Глава 5. Заключительные положения</w:t>
      </w:r>
    </w:p>
    <w:bookmarkEnd w:id="92"/>
    <w:bookmarkStart w:name="z191" w:id="93"/>
    <w:p>
      <w:pPr>
        <w:spacing w:after="0"/>
        <w:ind w:left="0"/>
        <w:jc w:val="both"/>
      </w:pPr>
      <w:r>
        <w:rPr>
          <w:rFonts w:ascii="Times New Roman"/>
          <w:b w:val="false"/>
          <w:i w:val="false"/>
          <w:color w:val="000000"/>
          <w:sz w:val="28"/>
        </w:rPr>
        <w:t>
      5.1 Корреспонденция считается представленной или направленной, когда она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93"/>
    <w:bookmarkStart w:name="z192" w:id="94"/>
    <w:p>
      <w:pPr>
        <w:spacing w:after="0"/>
        <w:ind w:left="0"/>
        <w:jc w:val="both"/>
      </w:pPr>
      <w:r>
        <w:rPr>
          <w:rFonts w:ascii="Times New Roman"/>
          <w:b w:val="false"/>
          <w:i w:val="false"/>
          <w:color w:val="000000"/>
          <w:sz w:val="28"/>
        </w:rPr>
        <w:t>
      5.2 Любое изменение, прекращение условий настоящего Соглашения, в том числе срока действия настоящего Соглашения, оформляются дополнительным соглашением Сторон, подписываемым уполномоченными представителями Сторон, если иное не предусмотрено настоящим Соглашением.</w:t>
      </w:r>
    </w:p>
    <w:bookmarkEnd w:id="94"/>
    <w:bookmarkStart w:name="z193" w:id="95"/>
    <w:p>
      <w:pPr>
        <w:spacing w:after="0"/>
        <w:ind w:left="0"/>
        <w:jc w:val="both"/>
      </w:pPr>
      <w:r>
        <w:rPr>
          <w:rFonts w:ascii="Times New Roman"/>
          <w:b w:val="false"/>
          <w:i w:val="false"/>
          <w:color w:val="000000"/>
          <w:sz w:val="28"/>
        </w:rPr>
        <w:t>
      5.3 Все разногласия или споры, возникающие между Сторонами по настоящему Соглашению разрешаются в процессе прямых переговоров. Если после таких переговоров Стороны не могут разрешить спор по настоящему Соглашению, любая из сторон может потребовать решения этого вопроса в судебном порядке, установленного законодательством Республики Казахстан.</w:t>
      </w:r>
    </w:p>
    <w:bookmarkEnd w:id="95"/>
    <w:bookmarkStart w:name="z194" w:id="96"/>
    <w:p>
      <w:pPr>
        <w:spacing w:after="0"/>
        <w:ind w:left="0"/>
        <w:jc w:val="both"/>
      </w:pPr>
      <w:r>
        <w:rPr>
          <w:rFonts w:ascii="Times New Roman"/>
          <w:b w:val="false"/>
          <w:i w:val="false"/>
          <w:color w:val="000000"/>
          <w:sz w:val="28"/>
        </w:rPr>
        <w:t>
      5.4 Вопросы, не отрегулированные настоящим Соглашением, регулируются Договором инвестиционного субсидирования от ____20___ года № __, а также законодательством Республики Казахстан.</w:t>
      </w:r>
    </w:p>
    <w:bookmarkEnd w:id="96"/>
    <w:bookmarkStart w:name="z195" w:id="97"/>
    <w:p>
      <w:pPr>
        <w:spacing w:after="0"/>
        <w:ind w:left="0"/>
        <w:jc w:val="both"/>
      </w:pPr>
      <w:r>
        <w:rPr>
          <w:rFonts w:ascii="Times New Roman"/>
          <w:b w:val="false"/>
          <w:i w:val="false"/>
          <w:color w:val="000000"/>
          <w:sz w:val="28"/>
        </w:rPr>
        <w:t>
      5.5 Настоящее Соглашение составлено в 2 (двух) экземплярах на государственном и русском языках, по одному экземпляру для каждой из Сторон.</w:t>
      </w:r>
    </w:p>
    <w:bookmarkEnd w:id="97"/>
    <w:bookmarkStart w:name="z196" w:id="98"/>
    <w:p>
      <w:pPr>
        <w:spacing w:after="0"/>
        <w:ind w:left="0"/>
        <w:jc w:val="left"/>
      </w:pPr>
      <w:r>
        <w:rPr>
          <w:rFonts w:ascii="Times New Roman"/>
          <w:b/>
          <w:i w:val="false"/>
          <w:color w:val="000000"/>
        </w:rPr>
        <w:t xml:space="preserve"> Глава 6. Адреса, банковские реквизиты и подписи Сторон</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2025 года № 198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199" w:id="99"/>
    <w:p>
      <w:pPr>
        <w:spacing w:after="0"/>
        <w:ind w:left="0"/>
        <w:jc w:val="left"/>
      </w:pPr>
      <w:r>
        <w:rPr>
          <w:rFonts w:ascii="Times New Roman"/>
          <w:b/>
          <w:i w:val="false"/>
          <w:color w:val="000000"/>
        </w:rPr>
        <w:t xml:space="preserve"> Договор и соглашение № __ о неиспользовании финансовым институтом,</w:t>
      </w:r>
      <w:r>
        <w:br/>
      </w:r>
      <w:r>
        <w:rPr>
          <w:rFonts w:ascii="Times New Roman"/>
          <w:b/>
          <w:i w:val="false"/>
          <w:color w:val="000000"/>
        </w:rPr>
        <w:t>имеющим лицензию уполномоченного органа по регулированию, контролю и надзору</w:t>
      </w:r>
      <w:r>
        <w:br/>
      </w:r>
      <w:r>
        <w:rPr>
          <w:rFonts w:ascii="Times New Roman"/>
          <w:b/>
          <w:i w:val="false"/>
          <w:color w:val="000000"/>
        </w:rPr>
        <w:t>финансового рынка и финансовых организаций на проведение банковских операций,</w:t>
      </w:r>
      <w:r>
        <w:br/>
      </w:r>
      <w:r>
        <w:rPr>
          <w:rFonts w:ascii="Times New Roman"/>
          <w:b/>
          <w:i w:val="false"/>
          <w:color w:val="000000"/>
        </w:rPr>
        <w:t>или финансовым институтом, имеющим лицензию на осуществление</w:t>
      </w:r>
      <w:r>
        <w:br/>
      </w:r>
      <w:r>
        <w:rPr>
          <w:rFonts w:ascii="Times New Roman"/>
          <w:b/>
          <w:i w:val="false"/>
          <w:color w:val="000000"/>
        </w:rPr>
        <w:t>микрофинансовой деятельности или акционерным обществом "Фонд развития</w:t>
      </w:r>
      <w:r>
        <w:br/>
      </w:r>
      <w:r>
        <w:rPr>
          <w:rFonts w:ascii="Times New Roman"/>
          <w:b/>
          <w:i w:val="false"/>
          <w:color w:val="000000"/>
        </w:rPr>
        <w:t>промышленности", инвестиционных субсидий на специальном счете</w:t>
      </w:r>
    </w:p>
    <w:bookmarkEnd w:id="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20__ года</w:t>
            </w:r>
          </w:p>
        </w:tc>
      </w:tr>
    </w:tbl>
    <w:p>
      <w:pPr>
        <w:spacing w:after="0"/>
        <w:ind w:left="0"/>
        <w:jc w:val="both"/>
      </w:pPr>
      <w:bookmarkStart w:name="z200" w:id="100"/>
      <w:r>
        <w:rPr>
          <w:rFonts w:ascii="Times New Roman"/>
          <w:b w:val="false"/>
          <w:i w:val="false"/>
          <w:color w:val="000000"/>
          <w:sz w:val="28"/>
        </w:rPr>
        <w:t>
      ___________________________________________________________________</w:t>
      </w:r>
    </w:p>
    <w:bookmarkEnd w:id="100"/>
    <w:p>
      <w:pPr>
        <w:spacing w:after="0"/>
        <w:ind w:left="0"/>
        <w:jc w:val="both"/>
      </w:pPr>
      <w:r>
        <w:rPr>
          <w:rFonts w:ascii="Times New Roman"/>
          <w:b w:val="false"/>
          <w:i w:val="false"/>
          <w:color w:val="000000"/>
          <w:sz w:val="28"/>
        </w:rPr>
        <w:t>именуемое в дальнейшем "Финансовый институт",</w:t>
      </w:r>
    </w:p>
    <w:p>
      <w:pPr>
        <w:spacing w:after="0"/>
        <w:ind w:left="0"/>
        <w:jc w:val="both"/>
      </w:pPr>
      <w:r>
        <w:rPr>
          <w:rFonts w:ascii="Times New Roman"/>
          <w:b w:val="false"/>
          <w:i w:val="false"/>
          <w:color w:val="000000"/>
          <w:sz w:val="28"/>
        </w:rPr>
        <w:t>с одной стороны, государственное учреждение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области (города республиканского значения, столицы (наименование),</w:t>
      </w:r>
    </w:p>
    <w:p>
      <w:pPr>
        <w:spacing w:after="0"/>
        <w:ind w:left="0"/>
        <w:jc w:val="both"/>
      </w:pPr>
      <w:r>
        <w:rPr>
          <w:rFonts w:ascii="Times New Roman"/>
          <w:b w:val="false"/>
          <w:i w:val="false"/>
          <w:color w:val="000000"/>
          <w:sz w:val="28"/>
        </w:rPr>
        <w:t>в лице руководителя (или лица его заменяющего на основании приказа)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положения о государственном учреждении,</w:t>
      </w:r>
    </w:p>
    <w:p>
      <w:pPr>
        <w:spacing w:after="0"/>
        <w:ind w:left="0"/>
        <w:jc w:val="both"/>
      </w:pPr>
      <w:r>
        <w:rPr>
          <w:rFonts w:ascii="Times New Roman"/>
          <w:b w:val="false"/>
          <w:i w:val="false"/>
          <w:color w:val="000000"/>
          <w:sz w:val="28"/>
        </w:rPr>
        <w:t>именуемое в дальнейшем "Рабочий орган", с другой стороны,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Устава, именуемое в дальнейшем "Инвестор",</w:t>
      </w:r>
    </w:p>
    <w:p>
      <w:pPr>
        <w:spacing w:after="0"/>
        <w:ind w:left="0"/>
        <w:jc w:val="both"/>
      </w:pPr>
      <w:r>
        <w:rPr>
          <w:rFonts w:ascii="Times New Roman"/>
          <w:b w:val="false"/>
          <w:i w:val="false"/>
          <w:color w:val="000000"/>
          <w:sz w:val="28"/>
        </w:rPr>
        <w:t>с третьей стороны, совместно именуемые Стороны, а по отдельности Сторона,</w:t>
      </w:r>
    </w:p>
    <w:p>
      <w:pPr>
        <w:spacing w:after="0"/>
        <w:ind w:left="0"/>
        <w:jc w:val="both"/>
      </w:pPr>
      <w:r>
        <w:rPr>
          <w:rFonts w:ascii="Times New Roman"/>
          <w:b w:val="false"/>
          <w:i w:val="false"/>
          <w:color w:val="000000"/>
          <w:sz w:val="28"/>
        </w:rPr>
        <w:t>заключили настоящий Договор и соглашение о неиспользовании финансовым</w:t>
      </w:r>
    </w:p>
    <w:p>
      <w:pPr>
        <w:spacing w:after="0"/>
        <w:ind w:left="0"/>
        <w:jc w:val="both"/>
      </w:pPr>
      <w:r>
        <w:rPr>
          <w:rFonts w:ascii="Times New Roman"/>
          <w:b w:val="false"/>
          <w:i w:val="false"/>
          <w:color w:val="000000"/>
          <w:sz w:val="28"/>
        </w:rPr>
        <w:t>институтом денег на специальном счете (далее – Договор) о нижеследующем.</w:t>
      </w:r>
    </w:p>
    <w:bookmarkStart w:name="z201" w:id="101"/>
    <w:p>
      <w:pPr>
        <w:spacing w:after="0"/>
        <w:ind w:left="0"/>
        <w:jc w:val="left"/>
      </w:pPr>
      <w:r>
        <w:rPr>
          <w:rFonts w:ascii="Times New Roman"/>
          <w:b/>
          <w:i w:val="false"/>
          <w:color w:val="000000"/>
        </w:rPr>
        <w:t xml:space="preserve"> Глава 1. Общие положения</w:t>
      </w:r>
    </w:p>
    <w:bookmarkEnd w:id="101"/>
    <w:bookmarkStart w:name="z202" w:id="102"/>
    <w:p>
      <w:pPr>
        <w:spacing w:after="0"/>
        <w:ind w:left="0"/>
        <w:jc w:val="both"/>
      </w:pPr>
      <w:r>
        <w:rPr>
          <w:rFonts w:ascii="Times New Roman"/>
          <w:b w:val="false"/>
          <w:i w:val="false"/>
          <w:color w:val="000000"/>
          <w:sz w:val="28"/>
        </w:rPr>
        <w:t>
      1.1. Основаниями для заключения настоящего Договора являются:</w:t>
      </w:r>
    </w:p>
    <w:bookmarkEnd w:id="102"/>
    <w:bookmarkStart w:name="z203" w:id="1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w:t>
      </w:r>
    </w:p>
    <w:bookmarkEnd w:id="103"/>
    <w:bookmarkStart w:name="z204"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утвержденные приказом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(далее – Правила субсидирования);</w:t>
      </w:r>
    </w:p>
    <w:bookmarkEnd w:id="104"/>
    <w:bookmarkStart w:name="z205" w:id="105"/>
    <w:p>
      <w:pPr>
        <w:spacing w:after="0"/>
        <w:ind w:left="0"/>
        <w:jc w:val="both"/>
      </w:pPr>
      <w:r>
        <w:rPr>
          <w:rFonts w:ascii="Times New Roman"/>
          <w:b w:val="false"/>
          <w:i w:val="false"/>
          <w:color w:val="000000"/>
          <w:sz w:val="28"/>
        </w:rPr>
        <w:t>
      3) Решение рабочего органа по вопросам инвестиционного субсидирования (от __________20__года №___).</w:t>
      </w:r>
    </w:p>
    <w:bookmarkEnd w:id="105"/>
    <w:bookmarkStart w:name="z206" w:id="106"/>
    <w:p>
      <w:pPr>
        <w:spacing w:after="0"/>
        <w:ind w:left="0"/>
        <w:jc w:val="left"/>
      </w:pPr>
      <w:r>
        <w:rPr>
          <w:rFonts w:ascii="Times New Roman"/>
          <w:b/>
          <w:i w:val="false"/>
          <w:color w:val="000000"/>
        </w:rPr>
        <w:t xml:space="preserve"> Глава 2. Термины и определения</w:t>
      </w:r>
    </w:p>
    <w:bookmarkEnd w:id="106"/>
    <w:bookmarkStart w:name="z207" w:id="107"/>
    <w:p>
      <w:pPr>
        <w:spacing w:after="0"/>
        <w:ind w:left="0"/>
        <w:jc w:val="both"/>
      </w:pPr>
      <w:r>
        <w:rPr>
          <w:rFonts w:ascii="Times New Roman"/>
          <w:b w:val="false"/>
          <w:i w:val="false"/>
          <w:color w:val="000000"/>
          <w:sz w:val="28"/>
        </w:rPr>
        <w:t>
      2.1.В настоящем Договоре используются понятия, указанные в Правилах субсидирования.</w:t>
      </w:r>
    </w:p>
    <w:bookmarkEnd w:id="107"/>
    <w:bookmarkStart w:name="z208" w:id="108"/>
    <w:p>
      <w:pPr>
        <w:spacing w:after="0"/>
        <w:ind w:left="0"/>
        <w:jc w:val="left"/>
      </w:pPr>
      <w:r>
        <w:rPr>
          <w:rFonts w:ascii="Times New Roman"/>
          <w:b/>
          <w:i w:val="false"/>
          <w:color w:val="000000"/>
        </w:rPr>
        <w:t xml:space="preserve"> Глава 3. Предмет Договора</w:t>
      </w:r>
    </w:p>
    <w:bookmarkEnd w:id="108"/>
    <w:bookmarkStart w:name="z209" w:id="109"/>
    <w:p>
      <w:pPr>
        <w:spacing w:after="0"/>
        <w:ind w:left="0"/>
        <w:jc w:val="both"/>
      </w:pPr>
      <w:r>
        <w:rPr>
          <w:rFonts w:ascii="Times New Roman"/>
          <w:b w:val="false"/>
          <w:i w:val="false"/>
          <w:color w:val="000000"/>
          <w:sz w:val="28"/>
        </w:rPr>
        <w:t>
      3.1. Финансовый институт не использует средства, находящиеся на специальном счете, до принятия Рабочим органом решения о выплате инвестиционных субсидий, в соответствии с условиями, указанные в Правилах субсидирования.</w:t>
      </w:r>
    </w:p>
    <w:bookmarkEnd w:id="109"/>
    <w:bookmarkStart w:name="z210" w:id="110"/>
    <w:p>
      <w:pPr>
        <w:spacing w:after="0"/>
        <w:ind w:left="0"/>
        <w:jc w:val="both"/>
      </w:pPr>
      <w:r>
        <w:rPr>
          <w:rFonts w:ascii="Times New Roman"/>
          <w:b w:val="false"/>
          <w:i w:val="false"/>
          <w:color w:val="000000"/>
          <w:sz w:val="28"/>
        </w:rPr>
        <w:t>
      3.2. Для получения инвестиционных субсидий на специальный счет, инвестор вместе с документами, указанными Правилах субсидирования, дополнительно предоставляет заверенную финансовым институтом копию положительного решения кредитного комитета финансового института, кредитный договор/договор лизинга с финансовым институтом.</w:t>
      </w:r>
    </w:p>
    <w:bookmarkEnd w:id="110"/>
    <w:bookmarkStart w:name="z211" w:id="111"/>
    <w:p>
      <w:pPr>
        <w:spacing w:after="0"/>
        <w:ind w:left="0"/>
        <w:jc w:val="left"/>
      </w:pPr>
      <w:r>
        <w:rPr>
          <w:rFonts w:ascii="Times New Roman"/>
          <w:b/>
          <w:i w:val="false"/>
          <w:color w:val="000000"/>
        </w:rPr>
        <w:t xml:space="preserve"> Глава 4. Порядок и условия перечисления инвестиционных субсидий</w:t>
      </w:r>
    </w:p>
    <w:bookmarkEnd w:id="111"/>
    <w:bookmarkStart w:name="z212" w:id="112"/>
    <w:p>
      <w:pPr>
        <w:spacing w:after="0"/>
        <w:ind w:left="0"/>
        <w:jc w:val="both"/>
      </w:pPr>
      <w:r>
        <w:rPr>
          <w:rFonts w:ascii="Times New Roman"/>
          <w:b w:val="false"/>
          <w:i w:val="false"/>
          <w:color w:val="000000"/>
          <w:sz w:val="28"/>
        </w:rPr>
        <w:t>
      4.1. Сумма инвестиционных субсидий в размере ______ (___________) тенге перечисляется Рабочим органом на специальный счет финансового института авансовым платежом.</w:t>
      </w:r>
    </w:p>
    <w:bookmarkEnd w:id="112"/>
    <w:bookmarkStart w:name="z213" w:id="113"/>
    <w:p>
      <w:pPr>
        <w:spacing w:after="0"/>
        <w:ind w:left="0"/>
        <w:jc w:val="both"/>
      </w:pPr>
      <w:r>
        <w:rPr>
          <w:rFonts w:ascii="Times New Roman"/>
          <w:b w:val="false"/>
          <w:i w:val="false"/>
          <w:color w:val="000000"/>
          <w:sz w:val="28"/>
        </w:rPr>
        <w:t>
      Реквизиты специального счета финансового института: _____________</w:t>
      </w:r>
    </w:p>
    <w:bookmarkEnd w:id="113"/>
    <w:bookmarkStart w:name="z214" w:id="114"/>
    <w:p>
      <w:pPr>
        <w:spacing w:after="0"/>
        <w:ind w:left="0"/>
        <w:jc w:val="both"/>
      </w:pPr>
      <w:r>
        <w:rPr>
          <w:rFonts w:ascii="Times New Roman"/>
          <w:b w:val="false"/>
          <w:i w:val="false"/>
          <w:color w:val="000000"/>
          <w:sz w:val="28"/>
        </w:rPr>
        <w:t>
      4.2. Все операции производятся в национальной валюте – тенге.</w:t>
      </w:r>
    </w:p>
    <w:bookmarkEnd w:id="114"/>
    <w:bookmarkStart w:name="z215" w:id="115"/>
    <w:p>
      <w:pPr>
        <w:spacing w:after="0"/>
        <w:ind w:left="0"/>
        <w:jc w:val="left"/>
      </w:pPr>
      <w:r>
        <w:rPr>
          <w:rFonts w:ascii="Times New Roman"/>
          <w:b/>
          <w:i w:val="false"/>
          <w:color w:val="000000"/>
        </w:rPr>
        <w:t xml:space="preserve"> Глава 5. Права и обязанности Сторон</w:t>
      </w:r>
    </w:p>
    <w:bookmarkEnd w:id="115"/>
    <w:bookmarkStart w:name="z216" w:id="116"/>
    <w:p>
      <w:pPr>
        <w:spacing w:after="0"/>
        <w:ind w:left="0"/>
        <w:jc w:val="both"/>
      </w:pPr>
      <w:r>
        <w:rPr>
          <w:rFonts w:ascii="Times New Roman"/>
          <w:b w:val="false"/>
          <w:i w:val="false"/>
          <w:color w:val="000000"/>
          <w:sz w:val="28"/>
        </w:rPr>
        <w:t xml:space="preserve">
      5.1. Финансовый институт в течение 10 (десяти) рабочих дней с даты получения средств на специальный счет перечисляет предусмотренные кредитным договором (заключенного между Финансовым институтом и Инвестором средства на счет продавца оборудования, если иное не предусмотрено договором между инвестором и финансовым институтом и предоставляет подтверждающие документы рабочему органу. </w:t>
      </w:r>
    </w:p>
    <w:bookmarkEnd w:id="116"/>
    <w:bookmarkStart w:name="z217" w:id="117"/>
    <w:p>
      <w:pPr>
        <w:spacing w:after="0"/>
        <w:ind w:left="0"/>
        <w:jc w:val="both"/>
      </w:pPr>
      <w:r>
        <w:rPr>
          <w:rFonts w:ascii="Times New Roman"/>
          <w:b w:val="false"/>
          <w:i w:val="false"/>
          <w:color w:val="000000"/>
          <w:sz w:val="28"/>
        </w:rPr>
        <w:t xml:space="preserve">
      5.2. В случае, если финансовым институтом не выполняются условия, предусмотренные в Правилах субсидирования, то финансовый институт в течение 3 (трех) рабочих дней восстанавливает в полном объеме средства инвестиционных субсидий, перечисленных рабочим органом авансовым платежом на специальный счет. </w:t>
      </w:r>
    </w:p>
    <w:bookmarkEnd w:id="117"/>
    <w:bookmarkStart w:name="z218" w:id="118"/>
    <w:p>
      <w:pPr>
        <w:spacing w:after="0"/>
        <w:ind w:left="0"/>
        <w:jc w:val="both"/>
      </w:pPr>
      <w:r>
        <w:rPr>
          <w:rFonts w:ascii="Times New Roman"/>
          <w:b w:val="false"/>
          <w:i w:val="false"/>
          <w:color w:val="000000"/>
          <w:sz w:val="28"/>
        </w:rPr>
        <w:t>
      5.3. При этом, возврат платежей, произведенных в текущем финансовом году,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18"/>
    <w:bookmarkStart w:name="z219" w:id="119"/>
    <w:p>
      <w:pPr>
        <w:spacing w:after="0"/>
        <w:ind w:left="0"/>
        <w:jc w:val="both"/>
      </w:pPr>
      <w:r>
        <w:rPr>
          <w:rFonts w:ascii="Times New Roman"/>
          <w:b w:val="false"/>
          <w:i w:val="false"/>
          <w:color w:val="000000"/>
          <w:sz w:val="28"/>
        </w:rPr>
        <w:t>
      5.4. Средства, перечисленные на специальный счет, зачисляются финансовым институтом в счет погашения основного долга инвестора по кредиту/лизингу, использованного на приобретение оборудования и техники в рамках инвестиционного проекта на основании положительного решения рабочего органа о предоставлении инвестору инвестиционной субсидии.</w:t>
      </w:r>
    </w:p>
    <w:bookmarkEnd w:id="119"/>
    <w:bookmarkStart w:name="z220" w:id="120"/>
    <w:p>
      <w:pPr>
        <w:spacing w:after="0"/>
        <w:ind w:left="0"/>
        <w:jc w:val="left"/>
      </w:pPr>
      <w:r>
        <w:rPr>
          <w:rFonts w:ascii="Times New Roman"/>
          <w:b/>
          <w:i w:val="false"/>
          <w:color w:val="000000"/>
        </w:rPr>
        <w:t xml:space="preserve"> Глава 6. Ответственность Сторон</w:t>
      </w:r>
    </w:p>
    <w:bookmarkEnd w:id="120"/>
    <w:bookmarkStart w:name="z221" w:id="121"/>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121"/>
    <w:bookmarkStart w:name="z222" w:id="122"/>
    <w:p>
      <w:pPr>
        <w:spacing w:after="0"/>
        <w:ind w:left="0"/>
        <w:jc w:val="left"/>
      </w:pPr>
      <w:r>
        <w:rPr>
          <w:rFonts w:ascii="Times New Roman"/>
          <w:b/>
          <w:i w:val="false"/>
          <w:color w:val="000000"/>
        </w:rPr>
        <w:t xml:space="preserve"> Глава 7. Срок действия Договора</w:t>
      </w:r>
    </w:p>
    <w:bookmarkEnd w:id="122"/>
    <w:bookmarkStart w:name="z223" w:id="123"/>
    <w:p>
      <w:pPr>
        <w:spacing w:after="0"/>
        <w:ind w:left="0"/>
        <w:jc w:val="both"/>
      </w:pPr>
      <w:r>
        <w:rPr>
          <w:rFonts w:ascii="Times New Roman"/>
          <w:b w:val="false"/>
          <w:i w:val="false"/>
          <w:color w:val="000000"/>
          <w:sz w:val="28"/>
        </w:rPr>
        <w:t>
      7.1. Настоящий Договор вступает в силу с момента его подписания и действует до своевременного выполнения Сторонами своих обязательств в полном объеме, в соответствии с Правилами субсидирования.</w:t>
      </w:r>
    </w:p>
    <w:bookmarkEnd w:id="123"/>
    <w:bookmarkStart w:name="z224" w:id="124"/>
    <w:p>
      <w:pPr>
        <w:spacing w:after="0"/>
        <w:ind w:left="0"/>
        <w:jc w:val="left"/>
      </w:pPr>
      <w:r>
        <w:rPr>
          <w:rFonts w:ascii="Times New Roman"/>
          <w:b/>
          <w:i w:val="false"/>
          <w:color w:val="000000"/>
        </w:rPr>
        <w:t xml:space="preserve"> Глава 8. Обстоятельства непреодолимой силы</w:t>
      </w:r>
    </w:p>
    <w:bookmarkEnd w:id="124"/>
    <w:bookmarkStart w:name="z225" w:id="125"/>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125"/>
    <w:bookmarkStart w:name="z226" w:id="126"/>
    <w:p>
      <w:pPr>
        <w:spacing w:after="0"/>
        <w:ind w:left="0"/>
        <w:jc w:val="both"/>
      </w:pPr>
      <w:r>
        <w:rPr>
          <w:rFonts w:ascii="Times New Roman"/>
          <w:b w:val="false"/>
          <w:i w:val="false"/>
          <w:color w:val="000000"/>
          <w:sz w:val="28"/>
        </w:rPr>
        <w:t>
      8.2. При наступлении обстоятельств непреодолимой силы, Сторона, для которой создалась невозможность исполнения ее обязательств по настоящему Договору, в течение 10 (десяти) рабочих дней с момента наступления извещает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126"/>
    <w:bookmarkStart w:name="z227" w:id="127"/>
    <w:p>
      <w:pPr>
        <w:spacing w:after="0"/>
        <w:ind w:left="0"/>
        <w:jc w:val="both"/>
      </w:pPr>
      <w:r>
        <w:rPr>
          <w:rFonts w:ascii="Times New Roman"/>
          <w:b w:val="false"/>
          <w:i w:val="false"/>
          <w:color w:val="000000"/>
          <w:sz w:val="28"/>
        </w:rPr>
        <w:t>
      8.3. При отсутствии своевременного извещения, Сторона возмещает другой Стороне вред, причиненный не извещением или несвоевременным извещением.</w:t>
      </w:r>
    </w:p>
    <w:bookmarkEnd w:id="127"/>
    <w:bookmarkStart w:name="z228" w:id="128"/>
    <w:p>
      <w:pPr>
        <w:spacing w:after="0"/>
        <w:ind w:left="0"/>
        <w:jc w:val="both"/>
      </w:pPr>
      <w:r>
        <w:rPr>
          <w:rFonts w:ascii="Times New Roman"/>
          <w:b w:val="false"/>
          <w:i w:val="false"/>
          <w:color w:val="000000"/>
          <w:sz w:val="28"/>
        </w:rPr>
        <w:t>
      8.4. Наступление обстоятельств непреодолимой силы вызывает увеличение срока исполнения настоящего Договора на период их действия.</w:t>
      </w:r>
    </w:p>
    <w:bookmarkEnd w:id="128"/>
    <w:bookmarkStart w:name="z229" w:id="129"/>
    <w:p>
      <w:pPr>
        <w:spacing w:after="0"/>
        <w:ind w:left="0"/>
        <w:jc w:val="both"/>
      </w:pPr>
      <w:r>
        <w:rPr>
          <w:rFonts w:ascii="Times New Roman"/>
          <w:b w:val="false"/>
          <w:i w:val="false"/>
          <w:color w:val="000000"/>
          <w:sz w:val="28"/>
        </w:rPr>
        <w:t>
      8.5. Если такие обстоятельства продолжаются более 3 (трех) месяцев подряд, то любая из Сторон вправе отказаться от дальнейшего исполнения обязательств по настоящему Договору.</w:t>
      </w:r>
    </w:p>
    <w:bookmarkEnd w:id="129"/>
    <w:bookmarkStart w:name="z230" w:id="130"/>
    <w:p>
      <w:pPr>
        <w:spacing w:after="0"/>
        <w:ind w:left="0"/>
        <w:jc w:val="left"/>
      </w:pPr>
      <w:r>
        <w:rPr>
          <w:rFonts w:ascii="Times New Roman"/>
          <w:b/>
          <w:i w:val="false"/>
          <w:color w:val="000000"/>
        </w:rPr>
        <w:t xml:space="preserve"> Глава 9. Разрешение споров</w:t>
      </w:r>
    </w:p>
    <w:bookmarkEnd w:id="130"/>
    <w:bookmarkStart w:name="z231" w:id="131"/>
    <w:p>
      <w:pPr>
        <w:spacing w:after="0"/>
        <w:ind w:left="0"/>
        <w:jc w:val="both"/>
      </w:pPr>
      <w:r>
        <w:rPr>
          <w:rFonts w:ascii="Times New Roman"/>
          <w:b w:val="false"/>
          <w:i w:val="false"/>
          <w:color w:val="000000"/>
          <w:sz w:val="28"/>
        </w:rPr>
        <w:t>
      9.1.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31"/>
    <w:bookmarkStart w:name="z232" w:id="132"/>
    <w:p>
      <w:pPr>
        <w:spacing w:after="0"/>
        <w:ind w:left="0"/>
        <w:jc w:val="both"/>
      </w:pPr>
      <w:r>
        <w:rPr>
          <w:rFonts w:ascii="Times New Roman"/>
          <w:b w:val="false"/>
          <w:i w:val="false"/>
          <w:color w:val="000000"/>
          <w:sz w:val="28"/>
        </w:rPr>
        <w:t>
      9.2. Если после таких переговоров Стороны не могут разрешить спор по Договору, любая из сторон может потребовать решения этого вопроса в судебном порядке, установленного законодательством Республики Казахстан.</w:t>
      </w:r>
    </w:p>
    <w:bookmarkEnd w:id="132"/>
    <w:bookmarkStart w:name="z233" w:id="133"/>
    <w:p>
      <w:pPr>
        <w:spacing w:after="0"/>
        <w:ind w:left="0"/>
        <w:jc w:val="left"/>
      </w:pPr>
      <w:r>
        <w:rPr>
          <w:rFonts w:ascii="Times New Roman"/>
          <w:b/>
          <w:i w:val="false"/>
          <w:color w:val="000000"/>
        </w:rPr>
        <w:t xml:space="preserve"> Глава 10. Обмен корреспонденцией</w:t>
      </w:r>
    </w:p>
    <w:bookmarkEnd w:id="133"/>
    <w:bookmarkStart w:name="z234" w:id="134"/>
    <w:p>
      <w:pPr>
        <w:spacing w:after="0"/>
        <w:ind w:left="0"/>
        <w:jc w:val="both"/>
      </w:pPr>
      <w:r>
        <w:rPr>
          <w:rFonts w:ascii="Times New Roman"/>
          <w:b w:val="false"/>
          <w:i w:val="false"/>
          <w:color w:val="000000"/>
          <w:sz w:val="28"/>
        </w:rPr>
        <w:t>
      10.1.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(десяти) календарных дней с момента получения Сторонами корреспонденции с отметкой о вручении.</w:t>
      </w:r>
    </w:p>
    <w:bookmarkEnd w:id="134"/>
    <w:bookmarkStart w:name="z235" w:id="135"/>
    <w:p>
      <w:pPr>
        <w:spacing w:after="0"/>
        <w:ind w:left="0"/>
        <w:jc w:val="both"/>
      </w:pPr>
      <w:r>
        <w:rPr>
          <w:rFonts w:ascii="Times New Roman"/>
          <w:b w:val="false"/>
          <w:i w:val="false"/>
          <w:color w:val="000000"/>
          <w:sz w:val="28"/>
        </w:rPr>
        <w:t>
      10.2.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135"/>
    <w:bookmarkStart w:name="z236" w:id="136"/>
    <w:p>
      <w:pPr>
        <w:spacing w:after="0"/>
        <w:ind w:left="0"/>
        <w:jc w:val="left"/>
      </w:pPr>
      <w:r>
        <w:rPr>
          <w:rFonts w:ascii="Times New Roman"/>
          <w:b/>
          <w:i w:val="false"/>
          <w:color w:val="000000"/>
        </w:rPr>
        <w:t xml:space="preserve"> Глава 11. Конфиденциальность</w:t>
      </w:r>
    </w:p>
    <w:bookmarkEnd w:id="136"/>
    <w:bookmarkStart w:name="z237" w:id="137"/>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p>
    <w:bookmarkEnd w:id="137"/>
    <w:bookmarkStart w:name="z238" w:id="138"/>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138"/>
    <w:bookmarkStart w:name="z239" w:id="139"/>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139"/>
    <w:bookmarkStart w:name="z240" w:id="140"/>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140"/>
    <w:bookmarkStart w:name="z241" w:id="141"/>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141"/>
    <w:bookmarkStart w:name="z242" w:id="142"/>
    <w:p>
      <w:pPr>
        <w:spacing w:after="0"/>
        <w:ind w:left="0"/>
        <w:jc w:val="left"/>
      </w:pPr>
      <w:r>
        <w:rPr>
          <w:rFonts w:ascii="Times New Roman"/>
          <w:b/>
          <w:i w:val="false"/>
          <w:color w:val="000000"/>
        </w:rPr>
        <w:t xml:space="preserve"> Глава 12. Заключительные положения</w:t>
      </w:r>
    </w:p>
    <w:bookmarkEnd w:id="142"/>
    <w:bookmarkStart w:name="z243" w:id="143"/>
    <w:p>
      <w:pPr>
        <w:spacing w:after="0"/>
        <w:ind w:left="0"/>
        <w:jc w:val="both"/>
      </w:pPr>
      <w:r>
        <w:rPr>
          <w:rFonts w:ascii="Times New Roman"/>
          <w:b w:val="false"/>
          <w:i w:val="false"/>
          <w:color w:val="000000"/>
          <w:sz w:val="28"/>
        </w:rPr>
        <w:t>
      12.1.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143"/>
    <w:bookmarkStart w:name="z244" w:id="144"/>
    <w:p>
      <w:pPr>
        <w:spacing w:after="0"/>
        <w:ind w:left="0"/>
        <w:jc w:val="both"/>
      </w:pPr>
      <w:r>
        <w:rPr>
          <w:rFonts w:ascii="Times New Roman"/>
          <w:b w:val="false"/>
          <w:i w:val="false"/>
          <w:color w:val="000000"/>
          <w:sz w:val="28"/>
        </w:rPr>
        <w:t>
      12.2. Настоящий Договор составлен в 3 (трех) экземплярах на государственном и русском языках, по одному экземпляру для каждой из Сторон.</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